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B1666" w14:textId="77777777" w:rsidR="004E33D7" w:rsidRPr="004A237D" w:rsidRDefault="004E33D7" w:rsidP="00CE327D">
      <w:pPr>
        <w:pStyle w:val="a4"/>
        <w:tabs>
          <w:tab w:val="left" w:pos="1134"/>
        </w:tabs>
        <w:ind w:right="-284" w:firstLine="567"/>
        <w:jc w:val="center"/>
        <w:rPr>
          <w:rFonts w:ascii="Times New Roman" w:hAnsi="Times New Roman" w:cs="Times New Roman"/>
          <w:sz w:val="56"/>
          <w:szCs w:val="56"/>
        </w:rPr>
      </w:pPr>
    </w:p>
    <w:p w14:paraId="71E6F80E" w14:textId="77777777" w:rsidR="004E33D7" w:rsidRPr="004A237D" w:rsidRDefault="004E33D7" w:rsidP="00CE327D">
      <w:pPr>
        <w:pStyle w:val="a4"/>
        <w:tabs>
          <w:tab w:val="left" w:pos="1134"/>
        </w:tabs>
        <w:ind w:right="-284" w:firstLine="567"/>
        <w:jc w:val="center"/>
        <w:rPr>
          <w:rFonts w:ascii="Times New Roman" w:hAnsi="Times New Roman" w:cs="Times New Roman"/>
          <w:sz w:val="56"/>
          <w:szCs w:val="56"/>
        </w:rPr>
      </w:pPr>
    </w:p>
    <w:p w14:paraId="44C72959"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 xml:space="preserve">ГОДИШЕН  ОТЧЕТЕН </w:t>
      </w:r>
    </w:p>
    <w:p w14:paraId="278A0357"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14:paraId="74AEE96F"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ДОКЛАД</w:t>
      </w:r>
    </w:p>
    <w:p w14:paraId="753E3671"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br/>
        <w:t>ЗА  ДЕЙНОСТТА  НА</w:t>
      </w:r>
    </w:p>
    <w:p w14:paraId="6EBB7546"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br/>
        <w:t xml:space="preserve">ОКРЪЖНА ПРОКУРАТУРА </w:t>
      </w:r>
    </w:p>
    <w:p w14:paraId="288EF1BF"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14:paraId="0EDCF4D9"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ПАЗАРДЖИК</w:t>
      </w:r>
    </w:p>
    <w:p w14:paraId="4DA9CEBF"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14:paraId="066D4BC8"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r w:rsidRPr="004A237D">
        <w:rPr>
          <w:rFonts w:ascii="Times New Roman" w:hAnsi="Times New Roman" w:cs="Times New Roman"/>
          <w:b/>
          <w:sz w:val="56"/>
          <w:szCs w:val="56"/>
        </w:rPr>
        <w:t>ПРЕЗ</w:t>
      </w:r>
    </w:p>
    <w:p w14:paraId="2A00FBB1" w14:textId="77777777" w:rsidR="004E33D7" w:rsidRPr="004A237D" w:rsidRDefault="004E33D7" w:rsidP="00CE327D">
      <w:pPr>
        <w:pStyle w:val="a4"/>
        <w:tabs>
          <w:tab w:val="left" w:pos="1134"/>
        </w:tabs>
        <w:ind w:right="-284" w:firstLine="567"/>
        <w:jc w:val="center"/>
        <w:rPr>
          <w:rFonts w:ascii="Times New Roman" w:hAnsi="Times New Roman" w:cs="Times New Roman"/>
          <w:b/>
          <w:sz w:val="56"/>
          <w:szCs w:val="56"/>
        </w:rPr>
      </w:pPr>
    </w:p>
    <w:p w14:paraId="02C48C72" w14:textId="77777777" w:rsidR="004E33D7" w:rsidRPr="004A237D" w:rsidRDefault="00660716" w:rsidP="00CE327D">
      <w:pPr>
        <w:tabs>
          <w:tab w:val="left" w:pos="1134"/>
        </w:tabs>
        <w:ind w:right="-284" w:firstLine="567"/>
        <w:jc w:val="center"/>
        <w:rPr>
          <w:rFonts w:ascii="Times New Roman" w:hAnsi="Times New Roman" w:cs="Times New Roman"/>
          <w:b/>
          <w:sz w:val="56"/>
          <w:szCs w:val="56"/>
        </w:rPr>
      </w:pPr>
      <w:r>
        <w:rPr>
          <w:rFonts w:ascii="Times New Roman" w:hAnsi="Times New Roman" w:cs="Times New Roman"/>
          <w:b/>
          <w:sz w:val="56"/>
          <w:szCs w:val="56"/>
        </w:rPr>
        <w:t>2025</w:t>
      </w:r>
      <w:r w:rsidR="004E33D7" w:rsidRPr="004A237D">
        <w:rPr>
          <w:rFonts w:ascii="Times New Roman" w:hAnsi="Times New Roman" w:cs="Times New Roman"/>
          <w:b/>
          <w:sz w:val="56"/>
          <w:szCs w:val="56"/>
        </w:rPr>
        <w:t xml:space="preserve"> година</w:t>
      </w:r>
    </w:p>
    <w:p w14:paraId="494CAE68" w14:textId="77777777" w:rsidR="004E33D7" w:rsidRPr="004A237D" w:rsidRDefault="004E33D7" w:rsidP="00CE327D">
      <w:pPr>
        <w:tabs>
          <w:tab w:val="left" w:pos="1134"/>
        </w:tabs>
        <w:ind w:right="-284" w:firstLine="567"/>
        <w:jc w:val="center"/>
        <w:rPr>
          <w:rFonts w:ascii="Times New Roman" w:hAnsi="Times New Roman" w:cs="Times New Roman"/>
          <w:sz w:val="56"/>
          <w:szCs w:val="56"/>
        </w:rPr>
      </w:pPr>
    </w:p>
    <w:p w14:paraId="1DCBA015" w14:textId="77777777" w:rsidR="004E33D7" w:rsidRPr="004A237D" w:rsidRDefault="004E33D7" w:rsidP="00CE327D">
      <w:pPr>
        <w:tabs>
          <w:tab w:val="left" w:pos="1134"/>
        </w:tabs>
        <w:ind w:right="-284" w:firstLine="567"/>
        <w:jc w:val="center"/>
        <w:rPr>
          <w:rFonts w:ascii="Times New Roman" w:hAnsi="Times New Roman" w:cs="Times New Roman"/>
          <w:sz w:val="56"/>
          <w:szCs w:val="56"/>
        </w:rPr>
      </w:pPr>
      <w:r w:rsidRPr="004A237D">
        <w:rPr>
          <w:rFonts w:ascii="Times New Roman" w:hAnsi="Times New Roman" w:cs="Times New Roman"/>
          <w:sz w:val="56"/>
          <w:szCs w:val="56"/>
        </w:rPr>
        <w:t>/РЕЗЮМЕ/</w:t>
      </w:r>
    </w:p>
    <w:p w14:paraId="27C8F702" w14:textId="77777777" w:rsidR="004E33D7" w:rsidRPr="004A237D" w:rsidRDefault="004E33D7" w:rsidP="00CE327D">
      <w:pPr>
        <w:pStyle w:val="a4"/>
        <w:tabs>
          <w:tab w:val="left" w:pos="1134"/>
        </w:tabs>
        <w:ind w:right="-284" w:firstLine="567"/>
        <w:jc w:val="both"/>
        <w:rPr>
          <w:rFonts w:ascii="Times New Roman" w:hAnsi="Times New Roman" w:cs="Times New Roman"/>
          <w:sz w:val="56"/>
          <w:szCs w:val="56"/>
        </w:rPr>
      </w:pPr>
    </w:p>
    <w:p w14:paraId="63B8D61A" w14:textId="77777777" w:rsidR="004E33D7" w:rsidRPr="004A237D" w:rsidRDefault="004E33D7" w:rsidP="00CE327D">
      <w:pPr>
        <w:pStyle w:val="a4"/>
        <w:tabs>
          <w:tab w:val="left" w:pos="1134"/>
        </w:tabs>
        <w:ind w:right="-284" w:firstLine="567"/>
        <w:jc w:val="both"/>
        <w:rPr>
          <w:rFonts w:ascii="Times New Roman" w:hAnsi="Times New Roman" w:cs="Times New Roman"/>
          <w:sz w:val="56"/>
          <w:szCs w:val="56"/>
        </w:rPr>
      </w:pPr>
    </w:p>
    <w:p w14:paraId="44FA7D22" w14:textId="77777777" w:rsidR="0025068E" w:rsidRDefault="0025068E" w:rsidP="00CE327D">
      <w:pPr>
        <w:pStyle w:val="a4"/>
        <w:tabs>
          <w:tab w:val="left" w:pos="1134"/>
        </w:tabs>
        <w:ind w:right="-284" w:firstLine="567"/>
        <w:jc w:val="both"/>
        <w:rPr>
          <w:rFonts w:ascii="Times New Roman" w:hAnsi="Times New Roman" w:cs="Times New Roman"/>
          <w:sz w:val="28"/>
          <w:szCs w:val="28"/>
        </w:rPr>
      </w:pPr>
    </w:p>
    <w:p w14:paraId="589F6B73" w14:textId="77777777" w:rsidR="008B0602" w:rsidRDefault="008B0602" w:rsidP="00CE327D">
      <w:pPr>
        <w:pStyle w:val="a4"/>
        <w:tabs>
          <w:tab w:val="left" w:pos="1134"/>
        </w:tabs>
        <w:ind w:right="-284" w:firstLine="567"/>
        <w:jc w:val="both"/>
        <w:rPr>
          <w:rFonts w:ascii="Times New Roman" w:hAnsi="Times New Roman" w:cs="Times New Roman"/>
          <w:sz w:val="28"/>
          <w:szCs w:val="28"/>
        </w:rPr>
      </w:pPr>
    </w:p>
    <w:p w14:paraId="76E9FC68" w14:textId="77777777" w:rsidR="008B0602" w:rsidRDefault="008B0602" w:rsidP="00CE327D">
      <w:pPr>
        <w:pStyle w:val="a4"/>
        <w:tabs>
          <w:tab w:val="left" w:pos="1134"/>
        </w:tabs>
        <w:ind w:right="-284" w:firstLine="567"/>
        <w:jc w:val="both"/>
        <w:rPr>
          <w:rFonts w:ascii="Times New Roman" w:hAnsi="Times New Roman" w:cs="Times New Roman"/>
          <w:sz w:val="28"/>
          <w:szCs w:val="28"/>
        </w:rPr>
      </w:pPr>
    </w:p>
    <w:p w14:paraId="098515A0" w14:textId="77777777" w:rsidR="008B0602" w:rsidRDefault="008B0602" w:rsidP="00CE327D">
      <w:pPr>
        <w:pStyle w:val="a4"/>
        <w:tabs>
          <w:tab w:val="left" w:pos="1134"/>
        </w:tabs>
        <w:ind w:right="-284" w:firstLine="567"/>
        <w:jc w:val="both"/>
        <w:rPr>
          <w:rFonts w:ascii="Times New Roman" w:hAnsi="Times New Roman" w:cs="Times New Roman"/>
          <w:sz w:val="28"/>
          <w:szCs w:val="28"/>
        </w:rPr>
      </w:pPr>
    </w:p>
    <w:p w14:paraId="519B47B5" w14:textId="77777777" w:rsidR="008B0602" w:rsidRDefault="008B0602" w:rsidP="00CE327D">
      <w:pPr>
        <w:pStyle w:val="a4"/>
        <w:tabs>
          <w:tab w:val="left" w:pos="1134"/>
        </w:tabs>
        <w:ind w:right="-284" w:firstLine="567"/>
        <w:jc w:val="both"/>
        <w:rPr>
          <w:rFonts w:ascii="Times New Roman" w:hAnsi="Times New Roman" w:cs="Times New Roman"/>
          <w:sz w:val="28"/>
          <w:szCs w:val="28"/>
        </w:rPr>
      </w:pPr>
    </w:p>
    <w:p w14:paraId="4D1AC784" w14:textId="77777777" w:rsidR="0009545C" w:rsidRDefault="0009545C" w:rsidP="0009545C">
      <w:pPr>
        <w:pStyle w:val="a4"/>
        <w:tabs>
          <w:tab w:val="left" w:pos="426"/>
        </w:tabs>
        <w:ind w:right="-427" w:firstLine="567"/>
        <w:jc w:val="both"/>
        <w:rPr>
          <w:rFonts w:ascii="Times New Roman" w:eastAsia="Times New Roman" w:hAnsi="Times New Roman" w:cs="Times New Roman"/>
          <w:sz w:val="28"/>
          <w:szCs w:val="28"/>
          <w:lang w:bidi="bg-BG"/>
        </w:rPr>
      </w:pPr>
      <w:bookmarkStart w:id="0" w:name="bookmark9"/>
    </w:p>
    <w:p w14:paraId="1764E7DA" w14:textId="77777777" w:rsidR="00660716" w:rsidRDefault="00660716" w:rsidP="00660716">
      <w:pPr>
        <w:pStyle w:val="a4"/>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Съдебният район на Окръжна прокуратура – Пазарджик обхваща 12 /дванадесет/ общини, които включват общо 117 населени места и 96 кметства, разположени на територия 4 459 кв. км., представляващо 4 % от територията на страната. По данни на Националния регистър на населението към 15.12.2025 г. на територията на област Пазарджик по постоянен и настоящ адрес са регистрирани общо 561 696 лица. През изминалата 2025 г. в съдебния район на Окръжна прокуратура – Пазарджик отново се работеше при спазване на закона, издадените инструкции, указания и разпореждания от Прокуратурата на Република България и при взаимодействие и координация с органите по разкриване и разследване на престъпленията. </w:t>
      </w:r>
    </w:p>
    <w:p w14:paraId="151F41F5" w14:textId="77777777" w:rsidR="00660716" w:rsidRDefault="00660716" w:rsidP="00660716">
      <w:pPr>
        <w:pStyle w:val="a4"/>
        <w:ind w:left="-567" w:right="-427" w:firstLine="567"/>
        <w:jc w:val="both"/>
        <w:rPr>
          <w:rFonts w:ascii="Times New Roman" w:hAnsi="Times New Roman" w:cs="Times New Roman"/>
          <w:sz w:val="28"/>
          <w:szCs w:val="28"/>
        </w:rPr>
      </w:pPr>
    </w:p>
    <w:p w14:paraId="6B320A79" w14:textId="77777777" w:rsidR="00660716" w:rsidRDefault="00660716" w:rsidP="00660716">
      <w:pPr>
        <w:pStyle w:val="a4"/>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В ОД на МВР - Пазарджик са обособени 3 отдела: Отдел „Криминална полиция“, Отдел „Охранителна полиция”, Отдел „Разследване“. </w:t>
      </w:r>
    </w:p>
    <w:p w14:paraId="79C8C62E" w14:textId="77777777" w:rsidR="00660716" w:rsidRDefault="00660716" w:rsidP="00660716">
      <w:pPr>
        <w:pStyle w:val="a4"/>
        <w:ind w:left="-567" w:right="-427" w:firstLine="567"/>
        <w:jc w:val="both"/>
        <w:rPr>
          <w:rFonts w:ascii="Times New Roman" w:hAnsi="Times New Roman" w:cs="Times New Roman"/>
          <w:sz w:val="28"/>
          <w:szCs w:val="28"/>
        </w:rPr>
      </w:pPr>
      <w:r>
        <w:rPr>
          <w:rFonts w:ascii="Times New Roman" w:hAnsi="Times New Roman" w:cs="Times New Roman"/>
          <w:sz w:val="28"/>
          <w:szCs w:val="28"/>
        </w:rPr>
        <w:t>Към всяко РУ при ОДМВР-Пазарджик има сектори „Разследване“, които са в състава на отдел „Разследване“.</w:t>
      </w:r>
    </w:p>
    <w:p w14:paraId="2667C73A"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ОДМВР - Пазарджик обслужва териториите на 12 общини с 5 РУ на МВР - Пазарджик, Велинград, Панагюрище, Пещера и Септември.</w:t>
      </w:r>
    </w:p>
    <w:p w14:paraId="7652C0ED" w14:textId="77777777" w:rsidR="00660716" w:rsidRDefault="00660716" w:rsidP="00660716">
      <w:pPr>
        <w:tabs>
          <w:tab w:val="left" w:pos="426"/>
        </w:tabs>
        <w:spacing w:after="0" w:line="240" w:lineRule="auto"/>
        <w:ind w:left="-567" w:right="-427" w:firstLine="567"/>
        <w:jc w:val="both"/>
      </w:pPr>
      <w:r>
        <w:rPr>
          <w:rFonts w:ascii="Times New Roman" w:eastAsia="Times New Roman" w:hAnsi="Times New Roman" w:cs="Times New Roman"/>
          <w:color w:val="000000" w:themeColor="text1"/>
          <w:sz w:val="28"/>
          <w:szCs w:val="28"/>
        </w:rPr>
        <w:t>РУ-Пазарджик обслужва териториите на община Пазарджик и община Лесичово с общо 39 населени места.</w:t>
      </w:r>
      <w:r>
        <w:t xml:space="preserve"> </w:t>
      </w:r>
    </w:p>
    <w:p w14:paraId="5FC04187"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РУ-Велинград обслужва териториите на община Велинград, община Сърница и община Ракитово с общо 27 населени места.</w:t>
      </w:r>
    </w:p>
    <w:p w14:paraId="6D9EB494"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РУ-Панагюрище обслужва териториите на община Панагюрище и община Стрелча с общо 15 населени места.</w:t>
      </w:r>
    </w:p>
    <w:p w14:paraId="7C82781D" w14:textId="77777777" w:rsidR="00660716" w:rsidRDefault="00660716" w:rsidP="00660716">
      <w:pPr>
        <w:tabs>
          <w:tab w:val="left" w:pos="426"/>
        </w:tabs>
        <w:spacing w:after="0" w:line="240" w:lineRule="auto"/>
        <w:ind w:left="-567" w:right="-427" w:firstLine="567"/>
        <w:jc w:val="both"/>
        <w:rPr>
          <w:color w:val="000000" w:themeColor="text1"/>
        </w:rPr>
      </w:pPr>
      <w:r>
        <w:rPr>
          <w:rFonts w:ascii="Times New Roman" w:eastAsia="Times New Roman" w:hAnsi="Times New Roman" w:cs="Times New Roman"/>
          <w:color w:val="000000" w:themeColor="text1"/>
          <w:sz w:val="28"/>
          <w:szCs w:val="28"/>
        </w:rPr>
        <w:t>РУ-Пещера обслужва териториите на община Пещера, община Батак и община Брацигово с общо 14 населени места.</w:t>
      </w:r>
      <w:r>
        <w:rPr>
          <w:color w:val="000000" w:themeColor="text1"/>
        </w:rPr>
        <w:t xml:space="preserve"> </w:t>
      </w:r>
    </w:p>
    <w:p w14:paraId="3446F58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РУ-Септември обслужва териториите на община Септември и община Белово с общо 23 населени места. </w:t>
      </w:r>
    </w:p>
    <w:p w14:paraId="21464C22" w14:textId="77777777" w:rsidR="00660716" w:rsidRDefault="00660716" w:rsidP="00660716">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Съществено значение за криминогенната обстановка в региона, както и в страната отново имат усложнената геополитическа обстановка, която указва пряко и косвено влияние върху икономическия ръст, нивата на безработица и миграционните процеси, което неминуемо се отразява и на престъпността.</w:t>
      </w:r>
      <w:r>
        <w:rPr>
          <w:rFonts w:ascii="Times New Roman" w:hAnsi="Times New Roman" w:cs="Times New Roman"/>
          <w:color w:val="000000" w:themeColor="text1"/>
          <w:sz w:val="28"/>
          <w:szCs w:val="28"/>
        </w:rPr>
        <w:t xml:space="preserve"> </w:t>
      </w:r>
    </w:p>
    <w:p w14:paraId="20E37325" w14:textId="77777777" w:rsidR="00660716" w:rsidRDefault="00660716" w:rsidP="00660716">
      <w:pPr>
        <w:pStyle w:val="a4"/>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bidi="bg-BG"/>
        </w:rPr>
        <w:t>Състоянието на престъпността в</w:t>
      </w:r>
      <w:r>
        <w:rPr>
          <w:rFonts w:ascii="Times New Roman" w:hAnsi="Times New Roman" w:cs="Times New Roman"/>
          <w:color w:val="000000" w:themeColor="text1"/>
          <w:sz w:val="28"/>
          <w:szCs w:val="28"/>
          <w:lang w:eastAsia="en-US"/>
        </w:rPr>
        <w:t xml:space="preserve"> съдебния район на Окръжна прокуратура - Пазарджик</w:t>
      </w:r>
      <w:r>
        <w:rPr>
          <w:rFonts w:ascii="Times New Roman" w:hAnsi="Times New Roman" w:cs="Times New Roman"/>
          <w:color w:val="000000" w:themeColor="text1"/>
          <w:sz w:val="28"/>
          <w:szCs w:val="28"/>
          <w:lang w:bidi="bg-BG"/>
        </w:rPr>
        <w:t xml:space="preserve"> е отражение на специфики в териториално – географското разположение и демографското, социалното, икономическото състояние и структурата на заетост, които чрез различни фактори на влияние също довеждат до увеличаването на престъпността.</w:t>
      </w:r>
    </w:p>
    <w:p w14:paraId="50C50E29" w14:textId="77777777" w:rsidR="00660716" w:rsidRDefault="00660716" w:rsidP="00660716">
      <w:pPr>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2025 година се работеше за повишаване на  взаимодействието между Окръжна прокуратура Пазарджик с  институциите в областта, за мобилизирането на целия вътрешен ресурс на Окръжната прокуратура и на разследващите органи.</w:t>
      </w:r>
    </w:p>
    <w:p w14:paraId="32BD0BD1" w14:textId="77777777" w:rsidR="00660716" w:rsidRDefault="00660716" w:rsidP="00660716">
      <w:pPr>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 xml:space="preserve"> За постигането на конкретните резултати в противодействието на престъпността и с оглед решаване на проблемите, съществуващи пред Окръжната прокуратура – Пазарджик и разследващите органи от областта, са извършвани множество срещи на ръководно ниво, като са набелязани конкретни цели за постигане на по - добра координация между разследващи и прокурори, активизирана е работата по определен вид дела – </w:t>
      </w:r>
      <w:r>
        <w:rPr>
          <w:rFonts w:ascii="Times New Roman" w:eastAsia="Times New Roman" w:hAnsi="Times New Roman" w:cs="Times New Roman"/>
          <w:color w:val="000000" w:themeColor="text1"/>
          <w:sz w:val="28"/>
          <w:szCs w:val="28"/>
        </w:rPr>
        <w:t>данъчни, корупционни дела,</w:t>
      </w:r>
      <w:r>
        <w:rPr>
          <w:rFonts w:ascii="Times New Roman" w:eastAsia="Times New Roman" w:hAnsi="Times New Roman" w:cs="Times New Roman"/>
          <w:color w:val="000000" w:themeColor="text1"/>
          <w:sz w:val="28"/>
          <w:szCs w:val="28"/>
          <w:lang w:bidi="bg-BG"/>
        </w:rPr>
        <w:t xml:space="preserve">  тези </w:t>
      </w:r>
      <w:r>
        <w:rPr>
          <w:rFonts w:ascii="Times New Roman" w:eastAsia="Times New Roman" w:hAnsi="Times New Roman" w:cs="Times New Roman"/>
          <w:color w:val="000000" w:themeColor="text1"/>
          <w:sz w:val="28"/>
          <w:szCs w:val="28"/>
          <w:lang w:bidi="bg-BG"/>
        </w:rPr>
        <w:lastRenderedPageBreak/>
        <w:t>свързани с организираната престъпност, спрени</w:t>
      </w:r>
      <w:r>
        <w:rPr>
          <w:rFonts w:ascii="Times New Roman" w:eastAsia="Times New Roman" w:hAnsi="Times New Roman" w:cs="Times New Roman"/>
          <w:color w:val="000000" w:themeColor="text1"/>
          <w:sz w:val="28"/>
          <w:szCs w:val="28"/>
        </w:rPr>
        <w:t xml:space="preserve"> дела срещу неизвестен извършител, дела срещу лица с две или повече висящи досъдебни производства, по дела, по които разследването е продължило прекалено дълго. Периодично са давани указания към прокурорите и разследващите за активизиране на работата по ДП от съответните категории. </w:t>
      </w:r>
    </w:p>
    <w:p w14:paraId="197B315C" w14:textId="77777777" w:rsidR="00660716" w:rsidRDefault="00660716" w:rsidP="00660716">
      <w:pPr>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 ръководството на ОД на МВР – Пазарджик, ГД БОП МВР Пловдив и ДАНС са извършвани периодични срещи, при които са обсъждани принципни въпроси и съществени проблеми и трудности, възникнали при разследването по определени дела и по отношение на добрата координация, която е основна част от решаването на проблемите.</w:t>
      </w:r>
    </w:p>
    <w:p w14:paraId="2621677F" w14:textId="77777777" w:rsidR="00660716" w:rsidRDefault="00660716" w:rsidP="00660716">
      <w:pPr>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bidi="bg-BG"/>
        </w:rPr>
        <w:t>Продължава практиката с периодичното обсъждане на текущи проблеми и възникнали такива в работата и на магистратите и съдебните служители, което да доведе до отстраняване на причините за възникването им.</w:t>
      </w:r>
    </w:p>
    <w:p w14:paraId="6A8C3B24" w14:textId="77777777" w:rsidR="00660716" w:rsidRDefault="00660716" w:rsidP="00660716">
      <w:pPr>
        <w:pStyle w:val="a4"/>
        <w:tabs>
          <w:tab w:val="left" w:pos="426"/>
          <w:tab w:val="left" w:pos="567"/>
        </w:tabs>
        <w:ind w:left="-567" w:right="-427" w:firstLine="567"/>
        <w:jc w:val="both"/>
        <w:rPr>
          <w:rFonts w:ascii="Times New Roman" w:eastAsia="Times New Roman" w:hAnsi="Times New Roman" w:cs="Times New Roman"/>
          <w:b/>
          <w:color w:val="000000" w:themeColor="text1"/>
          <w:sz w:val="28"/>
          <w:szCs w:val="28"/>
          <w:lang w:bidi="bg-BG"/>
        </w:rPr>
      </w:pPr>
    </w:p>
    <w:p w14:paraId="20C5C346" w14:textId="77777777" w:rsidR="00660716" w:rsidRDefault="00660716" w:rsidP="00660716">
      <w:pPr>
        <w:pStyle w:val="a4"/>
        <w:tabs>
          <w:tab w:val="left" w:pos="426"/>
          <w:tab w:val="left" w:pos="567"/>
        </w:tabs>
        <w:ind w:left="-567" w:right="-427" w:firstLine="567"/>
        <w:jc w:val="both"/>
        <w:rPr>
          <w:rFonts w:ascii="Times New Roman" w:eastAsia="Times New Roman" w:hAnsi="Times New Roman" w:cs="Times New Roman"/>
          <w:b/>
          <w:color w:val="000000" w:themeColor="text1"/>
          <w:sz w:val="28"/>
          <w:szCs w:val="28"/>
          <w:lang w:bidi="bg-BG"/>
        </w:rPr>
      </w:pPr>
      <w:r>
        <w:rPr>
          <w:rFonts w:ascii="Times New Roman" w:eastAsia="Times New Roman" w:hAnsi="Times New Roman" w:cs="Times New Roman"/>
          <w:b/>
          <w:color w:val="000000" w:themeColor="text1"/>
          <w:sz w:val="28"/>
          <w:szCs w:val="28"/>
          <w:lang w:bidi="bg-BG"/>
        </w:rPr>
        <w:t>Регистрирана и разкрита престъпност.</w:t>
      </w:r>
    </w:p>
    <w:p w14:paraId="5DE11D2F" w14:textId="77777777" w:rsidR="00660716" w:rsidRDefault="00660716" w:rsidP="00660716">
      <w:pPr>
        <w:tabs>
          <w:tab w:val="left" w:pos="426"/>
        </w:tabs>
        <w:spacing w:after="0" w:line="320" w:lineRule="exact"/>
        <w:ind w:left="-567" w:right="-427" w:firstLine="56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Данните на ОД на МВР гр. Пазарджик за отчетната 2025 г. относно регистрираната и разкритата престъпност са следните:</w:t>
      </w:r>
    </w:p>
    <w:p w14:paraId="20297C3A" w14:textId="77777777" w:rsidR="00660716" w:rsidRDefault="00660716" w:rsidP="00660716">
      <w:pPr>
        <w:pStyle w:val="11"/>
        <w:ind w:left="-567" w:right="-427" w:firstLine="567"/>
        <w:jc w:val="both"/>
        <w:rPr>
          <w:rFonts w:ascii="Times New Roman" w:eastAsia="Times New Roman" w:hAnsi="Times New Roman" w:cs="Times New Roman"/>
          <w:color w:val="000000" w:themeColor="text1"/>
        </w:rPr>
      </w:pPr>
      <w:r>
        <w:rPr>
          <w:rFonts w:ascii="Times New Roman" w:hAnsi="Times New Roman" w:cs="Times New Roman"/>
          <w:color w:val="000000" w:themeColor="text1"/>
        </w:rPr>
        <w:t xml:space="preserve">Общо регистрираните престъпления за отчетния период на 2025 г. са 2414 </w:t>
      </w:r>
      <w:proofErr w:type="spellStart"/>
      <w:r>
        <w:rPr>
          <w:rFonts w:ascii="Times New Roman" w:hAnsi="Times New Roman" w:cs="Times New Roman"/>
          <w:color w:val="000000" w:themeColor="text1"/>
        </w:rPr>
        <w:t>бр</w:t>
      </w:r>
      <w:proofErr w:type="spellEnd"/>
      <w:r>
        <w:rPr>
          <w:rFonts w:ascii="Times New Roman" w:hAnsi="Times New Roman" w:cs="Times New Roman"/>
          <w:color w:val="000000" w:themeColor="text1"/>
        </w:rPr>
        <w:t>, за 2024 са били 2589 бр. Отчита се намаление със 175 бр.</w:t>
      </w:r>
      <w:r>
        <w:rPr>
          <w:rFonts w:ascii="Times New Roman" w:eastAsia="Times New Roman" w:hAnsi="Times New Roman" w:cs="Times New Roman"/>
          <w:color w:val="000000" w:themeColor="text1"/>
        </w:rPr>
        <w:t xml:space="preserve"> За 2023 г. те са били 2320 бр. Отчетено е увеличение с 94 бр. спрямо 2023 г.</w:t>
      </w:r>
    </w:p>
    <w:p w14:paraId="728F82FA" w14:textId="77777777" w:rsidR="00660716" w:rsidRDefault="00660716" w:rsidP="0009545C">
      <w:pPr>
        <w:pStyle w:val="a4"/>
        <w:tabs>
          <w:tab w:val="left" w:pos="426"/>
        </w:tabs>
        <w:ind w:right="-427" w:firstLine="567"/>
        <w:jc w:val="both"/>
        <w:rPr>
          <w:rFonts w:ascii="Times New Roman" w:eastAsia="Times New Roman" w:hAnsi="Times New Roman" w:cs="Times New Roman"/>
          <w:sz w:val="28"/>
          <w:szCs w:val="28"/>
          <w:lang w:bidi="bg-BG"/>
        </w:rPr>
      </w:pPr>
    </w:p>
    <w:bookmarkEnd w:id="0"/>
    <w:p w14:paraId="06A09CB9" w14:textId="77777777" w:rsidR="0009545C" w:rsidRDefault="0009545C" w:rsidP="0009545C">
      <w:pPr>
        <w:pStyle w:val="a4"/>
        <w:tabs>
          <w:tab w:val="left" w:pos="426"/>
          <w:tab w:val="left" w:pos="1134"/>
        </w:tabs>
        <w:ind w:right="-284"/>
        <w:jc w:val="both"/>
        <w:rPr>
          <w:rFonts w:ascii="Times New Roman" w:eastAsia="Times New Roman" w:hAnsi="Times New Roman" w:cs="Times New Roman"/>
          <w:sz w:val="28"/>
          <w:szCs w:val="28"/>
          <w:lang w:bidi="bg-BG"/>
        </w:rPr>
      </w:pPr>
    </w:p>
    <w:p w14:paraId="5AA907E6" w14:textId="77777777" w:rsidR="00660716" w:rsidRDefault="00816C36" w:rsidP="00660716">
      <w:pPr>
        <w:pStyle w:val="a4"/>
        <w:tabs>
          <w:tab w:val="left" w:pos="426"/>
        </w:tabs>
        <w:ind w:left="-567" w:right="-427" w:firstLine="567"/>
        <w:jc w:val="both"/>
        <w:rPr>
          <w:rFonts w:ascii="Times New Roman" w:eastAsia="Times New Roman" w:hAnsi="Times New Roman" w:cs="Times New Roman"/>
          <w:b/>
          <w:color w:val="000000" w:themeColor="text1"/>
          <w:sz w:val="28"/>
          <w:szCs w:val="28"/>
          <w:lang w:bidi="bg-BG"/>
        </w:rPr>
      </w:pPr>
      <w:r>
        <w:rPr>
          <w:rFonts w:ascii="Times New Roman" w:eastAsia="Times New Roman" w:hAnsi="Times New Roman" w:cs="Times New Roman"/>
          <w:b/>
          <w:color w:val="000000" w:themeColor="text1"/>
          <w:sz w:val="28"/>
          <w:szCs w:val="28"/>
          <w:lang w:bidi="bg-BG"/>
        </w:rPr>
        <w:t>О</w:t>
      </w:r>
      <w:r w:rsidR="00660716">
        <w:rPr>
          <w:rFonts w:ascii="Times New Roman" w:eastAsia="Times New Roman" w:hAnsi="Times New Roman" w:cs="Times New Roman"/>
          <w:b/>
          <w:color w:val="000000" w:themeColor="text1"/>
          <w:sz w:val="28"/>
          <w:szCs w:val="28"/>
          <w:lang w:bidi="bg-BG"/>
        </w:rPr>
        <w:t>бобщени данни за дейността на прокуратурата и разследващите органи.</w:t>
      </w:r>
    </w:p>
    <w:p w14:paraId="21A0E038" w14:textId="77777777" w:rsidR="00660716" w:rsidRDefault="00660716" w:rsidP="00660716">
      <w:pPr>
        <w:pStyle w:val="a4"/>
        <w:tabs>
          <w:tab w:val="left" w:pos="426"/>
        </w:tabs>
        <w:ind w:left="-567" w:right="-427" w:firstLine="567"/>
        <w:jc w:val="both"/>
        <w:rPr>
          <w:rFonts w:ascii="Times New Roman" w:eastAsia="Times New Roman" w:hAnsi="Times New Roman" w:cs="Times New Roman"/>
          <w:b/>
          <w:color w:val="000000" w:themeColor="text1"/>
          <w:sz w:val="28"/>
          <w:szCs w:val="28"/>
          <w:lang w:bidi="bg-BG"/>
        </w:rPr>
      </w:pPr>
    </w:p>
    <w:p w14:paraId="33C679C5" w14:textId="77777777" w:rsidR="00660716" w:rsidRDefault="00660716" w:rsidP="00660716">
      <w:pPr>
        <w:pStyle w:val="a4"/>
        <w:tabs>
          <w:tab w:val="left" w:pos="426"/>
        </w:tabs>
        <w:ind w:left="-567" w:right="-427" w:firstLine="567"/>
        <w:rPr>
          <w:rFonts w:ascii="Times New Roman" w:eastAsia="Times New Roman" w:hAnsi="Times New Roman" w:cs="Times New Roman"/>
          <w:b/>
          <w:sz w:val="28"/>
          <w:szCs w:val="28"/>
          <w:lang w:bidi="bg-BG"/>
        </w:rPr>
      </w:pPr>
      <w:r>
        <w:rPr>
          <w:rFonts w:ascii="Times New Roman" w:eastAsia="Times New Roman" w:hAnsi="Times New Roman" w:cs="Times New Roman"/>
          <w:b/>
          <w:sz w:val="28"/>
          <w:szCs w:val="28"/>
          <w:lang w:bidi="bg-BG"/>
        </w:rPr>
        <w:t>Преписки.</w:t>
      </w:r>
    </w:p>
    <w:p w14:paraId="603A419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отчетната </w:t>
      </w:r>
      <w:r>
        <w:rPr>
          <w:rFonts w:ascii="Times New Roman" w:eastAsia="Times New Roman" w:hAnsi="Times New Roman" w:cs="Times New Roman"/>
          <w:sz w:val="28"/>
          <w:szCs w:val="28"/>
          <w:lang w:val="en-US" w:bidi="bg-BG"/>
        </w:rPr>
        <w:t>20</w:t>
      </w:r>
      <w:r>
        <w:rPr>
          <w:rFonts w:ascii="Times New Roman" w:eastAsia="Times New Roman" w:hAnsi="Times New Roman" w:cs="Times New Roman"/>
          <w:sz w:val="28"/>
          <w:szCs w:val="28"/>
          <w:lang w:bidi="bg-BG"/>
        </w:rPr>
        <w:t>25</w:t>
      </w:r>
      <w:r>
        <w:rPr>
          <w:rFonts w:ascii="Times New Roman" w:eastAsia="Times New Roman" w:hAnsi="Times New Roman" w:cs="Times New Roman"/>
          <w:sz w:val="28"/>
          <w:szCs w:val="28"/>
          <w:lang w:val="en-US" w:bidi="bg-BG"/>
        </w:rPr>
        <w:t xml:space="preserve"> </w:t>
      </w:r>
      <w:r>
        <w:rPr>
          <w:rFonts w:ascii="Times New Roman" w:eastAsia="Times New Roman" w:hAnsi="Times New Roman" w:cs="Times New Roman"/>
          <w:sz w:val="28"/>
          <w:szCs w:val="28"/>
          <w:lang w:bidi="bg-BG"/>
        </w:rPr>
        <w:t xml:space="preserve">г. прокурорите в района на Окръжна прокуратура-  Пазарджик са наблюдавали общо 6673 преписки по следствения надзор, от които 5946 са новообразувани преписки. Съпоставката с предходните отчетни периоди е следната: през 2024 г. са били наблюдавани </w:t>
      </w:r>
      <w:r>
        <w:rPr>
          <w:rFonts w:ascii="Times New Roman" w:eastAsia="Times New Roman" w:hAnsi="Times New Roman" w:cs="Times New Roman"/>
          <w:sz w:val="28"/>
          <w:szCs w:val="28"/>
          <w:lang w:val="en-US" w:bidi="bg-BG"/>
        </w:rPr>
        <w:t>6</w:t>
      </w:r>
      <w:r>
        <w:rPr>
          <w:rFonts w:ascii="Times New Roman" w:eastAsia="Times New Roman" w:hAnsi="Times New Roman" w:cs="Times New Roman"/>
          <w:sz w:val="28"/>
          <w:szCs w:val="28"/>
          <w:lang w:bidi="bg-BG"/>
        </w:rPr>
        <w:t>210</w:t>
      </w:r>
      <w:r>
        <w:rPr>
          <w:rFonts w:ascii="Times New Roman" w:eastAsia="Times New Roman" w:hAnsi="Times New Roman" w:cs="Times New Roman"/>
          <w:sz w:val="28"/>
          <w:szCs w:val="28"/>
          <w:lang w:val="en-US" w:bidi="bg-BG"/>
        </w:rPr>
        <w:t xml:space="preserve"> </w:t>
      </w:r>
      <w:r>
        <w:rPr>
          <w:rFonts w:ascii="Times New Roman" w:eastAsia="Times New Roman" w:hAnsi="Times New Roman" w:cs="Times New Roman"/>
          <w:sz w:val="28"/>
          <w:szCs w:val="28"/>
          <w:lang w:bidi="bg-BG"/>
        </w:rPr>
        <w:t>преписки по следствения надзор, от които 5454 новообразувани, а през 2023 г. са били наблюдавани 6134 преписки, от които 5484 новообразувани.</w:t>
      </w:r>
    </w:p>
    <w:p w14:paraId="35F36BEA"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color w:val="000000" w:themeColor="text1"/>
          <w:sz w:val="28"/>
          <w:szCs w:val="28"/>
          <w:lang w:bidi="bg-BG"/>
        </w:rPr>
        <w:t xml:space="preserve">И през тази отчетна година </w:t>
      </w:r>
      <w:bookmarkStart w:id="1" w:name="OLE_LINK65"/>
      <w:r>
        <w:rPr>
          <w:rFonts w:ascii="Times New Roman" w:eastAsia="Times New Roman" w:hAnsi="Times New Roman" w:cs="Times New Roman"/>
          <w:color w:val="000000" w:themeColor="text1"/>
          <w:sz w:val="28"/>
          <w:szCs w:val="28"/>
          <w:lang w:bidi="bg-BG"/>
        </w:rPr>
        <w:t>е налице тенденция за увеличение на абсолютния брой наблюдавани преписки спрямо предходната 2024 г. За разлика от предходната отчетна година, през настоящата е налице увеличаване на новообразуваните преписки.</w:t>
      </w:r>
      <w:r>
        <w:rPr>
          <w:rFonts w:ascii="Times New Roman" w:eastAsia="Times New Roman" w:hAnsi="Times New Roman" w:cs="Times New Roman"/>
          <w:color w:val="FF0000"/>
          <w:sz w:val="28"/>
          <w:szCs w:val="28"/>
          <w:lang w:bidi="bg-BG"/>
        </w:rPr>
        <w:t xml:space="preserve"> </w:t>
      </w:r>
      <w:r>
        <w:rPr>
          <w:rFonts w:ascii="Times New Roman" w:eastAsia="Times New Roman" w:hAnsi="Times New Roman" w:cs="Times New Roman"/>
          <w:sz w:val="28"/>
          <w:szCs w:val="28"/>
          <w:lang w:bidi="bg-BG"/>
        </w:rPr>
        <w:t>Увеличението на абсолютния брой наблюдавани преписки спрямо предходната  2024 г.  е  7,46%, а спрямо 2023 г. е 8,79% .</w:t>
      </w:r>
    </w:p>
    <w:p w14:paraId="567FC7F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Новообразуваните преписки през 2025 г. са с 9,02 % повече от новообразуваните такива през 2024 г., съответно  с  8,42%  повече от новообразуваните през 2023 г. преписки.</w:t>
      </w:r>
    </w:p>
    <w:bookmarkEnd w:id="1"/>
    <w:p w14:paraId="7F277EBC"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Резултатите по този показател говорят за добра работа на прокурорите в района на Окръжна прокуратура - Пазарджик. </w:t>
      </w:r>
    </w:p>
    <w:p w14:paraId="2935E5FD"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val="en-US" w:bidi="bg-BG"/>
        </w:rPr>
      </w:pPr>
      <w:r>
        <w:rPr>
          <w:rFonts w:ascii="Times New Roman" w:eastAsia="Times New Roman" w:hAnsi="Times New Roman" w:cs="Times New Roman"/>
          <w:sz w:val="28"/>
          <w:szCs w:val="28"/>
          <w:lang w:bidi="bg-BG"/>
        </w:rPr>
        <w:t>Почти непроменено, сравнено с предходните две години, остава процентното съотношение на решени към нерешени преписки – 96,61% към 3,39%. През 2024 г. това съотношение е било 95,57%  към 4,43%, а през 2023 г.- 94,22 % към 5,78 %.</w:t>
      </w:r>
    </w:p>
    <w:p w14:paraId="13C4DFC6"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Налице е устойчивост по отношение срочността при решаване на преписките. </w:t>
      </w:r>
    </w:p>
    <w:p w14:paraId="02C95FA3"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lastRenderedPageBreak/>
        <w:t xml:space="preserve">През настоящата отчетна година, както и през 2024 г. и 2023 г., 99,9 % от преписките са решени от прокурорите в срок до 1 месец. </w:t>
      </w:r>
    </w:p>
    <w:p w14:paraId="0266A63E"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отчетната 2025 г., в срок над 1 месец са решени 0,1% от преписките, всички наблюдавани от </w:t>
      </w:r>
      <w:r>
        <w:rPr>
          <w:rFonts w:ascii="Times New Roman" w:eastAsia="Times New Roman" w:hAnsi="Times New Roman" w:cs="Times New Roman"/>
          <w:color w:val="000000" w:themeColor="text1"/>
          <w:sz w:val="28"/>
          <w:szCs w:val="28"/>
          <w:lang w:bidi="bg-BG"/>
        </w:rPr>
        <w:t>Районна прокуратура</w:t>
      </w:r>
      <w:r>
        <w:rPr>
          <w:rFonts w:ascii="Times New Roman" w:eastAsia="Times New Roman" w:hAnsi="Times New Roman" w:cs="Times New Roman"/>
          <w:sz w:val="28"/>
          <w:szCs w:val="28"/>
          <w:lang w:bidi="bg-BG"/>
        </w:rPr>
        <w:t xml:space="preserve"> - Пазарджик. През 2024 г. в срок над 1 месец са били решени 0,1 % от преписките, всички наблюдавани от Окръжна прокуратура Пазарджик. През 2023 г. също в срок над 1 месец са били решени 0,1% от преписките - на Районна прокуратура Пазарджик.</w:t>
      </w:r>
    </w:p>
    <w:p w14:paraId="37044A94"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color w:val="000000" w:themeColor="text1"/>
          <w:sz w:val="28"/>
          <w:szCs w:val="28"/>
          <w:lang w:bidi="bg-BG"/>
        </w:rPr>
        <w:t>В сравнение с предходната отчетна година е налице леко влошаване на показателя срочност на приключване на възложените проверки.</w:t>
      </w:r>
      <w:r>
        <w:rPr>
          <w:rFonts w:ascii="Times New Roman" w:eastAsia="Times New Roman" w:hAnsi="Times New Roman" w:cs="Times New Roman"/>
          <w:sz w:val="28"/>
          <w:szCs w:val="28"/>
          <w:lang w:bidi="bg-BG"/>
        </w:rPr>
        <w:t xml:space="preserve"> Извън законовия срок по чл. 145, ал. 2 от ЗСВ през 2025 г. са приключени 55 възложени проверки, докато през 2024 г. броят им е бил 19. </w:t>
      </w:r>
    </w:p>
    <w:p w14:paraId="3AADE72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отчетния период прокурорите от Окръжна прокуратура - Пазарджик са решили общо 271 инстанционни преписки с 318 прокурорски акта. Броят на отменените постановление за отказ е 32, а потвърдените постановления за отказ са 111.</w:t>
      </w:r>
    </w:p>
    <w:p w14:paraId="3C88A73E"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2024 г. са били решени общо 414 инстанционни преписки с 449 прокурорски акта. Броят на отменените постановления за отказ е бил 28, а потвърдените постановления за отказ са били 110.</w:t>
      </w:r>
    </w:p>
    <w:p w14:paraId="6184CF96"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2023 г. са били решени общо 201 инстанционни преписки с 222 прокурорски акта. Броят на отменените постановления за отказ е бил 31, а потвърдените постановления за отказ са били 87. </w:t>
      </w:r>
    </w:p>
    <w:p w14:paraId="3F1C9412"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Относителният дял на отменените постановления за отказ спрямо общия брой решени инстанционни преписки през отчетната година е 11,8%. През 2024 г. този дял е бил 6,76%,  а през 2023 г.- 15,4%. Резултатите по този показател сочат за леко влошаване на работата на прокурорите от Районна прокуратура- Пазарджик в сравнение с предходната отчетна година. </w:t>
      </w:r>
    </w:p>
    <w:p w14:paraId="4669439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val="en-US" w:bidi="bg-BG"/>
        </w:rPr>
      </w:pPr>
      <w:r>
        <w:rPr>
          <w:rFonts w:ascii="Times New Roman" w:eastAsia="Times New Roman" w:hAnsi="Times New Roman" w:cs="Times New Roman"/>
          <w:sz w:val="28"/>
          <w:szCs w:val="28"/>
          <w:lang w:bidi="bg-BG"/>
        </w:rPr>
        <w:t xml:space="preserve">Горните данни налагат извод, че през настоящата отчетна година значително е намален броя на решените инстанционни преписки в сравнение с решените такива през 2024 г. и леко увеличен в сравнение с броя на решените преписки от тази категория през 2023 г. </w:t>
      </w:r>
    </w:p>
    <w:p w14:paraId="4866EA20" w14:textId="77777777" w:rsidR="00931901" w:rsidRPr="00931901" w:rsidRDefault="00931901" w:rsidP="00660716">
      <w:pPr>
        <w:tabs>
          <w:tab w:val="left" w:pos="426"/>
        </w:tabs>
        <w:spacing w:after="0" w:line="240" w:lineRule="auto"/>
        <w:ind w:left="-567" w:right="-427" w:firstLine="567"/>
        <w:jc w:val="both"/>
        <w:rPr>
          <w:rFonts w:ascii="Times New Roman" w:eastAsia="Times New Roman" w:hAnsi="Times New Roman" w:cs="Times New Roman"/>
          <w:sz w:val="28"/>
          <w:szCs w:val="28"/>
          <w:lang w:val="en-US" w:bidi="bg-BG"/>
        </w:rPr>
      </w:pPr>
    </w:p>
    <w:p w14:paraId="4582DA44" w14:textId="77777777" w:rsidR="00931901" w:rsidRPr="00931901" w:rsidRDefault="00931901" w:rsidP="00931901">
      <w:pPr>
        <w:tabs>
          <w:tab w:val="left" w:pos="426"/>
        </w:tabs>
        <w:spacing w:after="0" w:line="240" w:lineRule="auto"/>
        <w:ind w:left="-567" w:right="-427" w:firstLine="567"/>
        <w:rPr>
          <w:rFonts w:ascii="Times New Roman" w:eastAsia="Times New Roman" w:hAnsi="Times New Roman" w:cs="Times New Roman"/>
          <w:b/>
          <w:sz w:val="28"/>
          <w:szCs w:val="28"/>
          <w:lang w:val="en-US" w:bidi="bg-BG"/>
        </w:rPr>
      </w:pPr>
      <w:r w:rsidRPr="00931901">
        <w:rPr>
          <w:rFonts w:ascii="Times New Roman" w:eastAsia="Times New Roman" w:hAnsi="Times New Roman" w:cs="Times New Roman"/>
          <w:b/>
          <w:sz w:val="28"/>
          <w:szCs w:val="28"/>
          <w:lang w:bidi="bg-BG"/>
        </w:rPr>
        <w:t>Досъдебни производства.</w:t>
      </w:r>
    </w:p>
    <w:p w14:paraId="47FC29A9" w14:textId="77777777" w:rsidR="00931901" w:rsidRPr="00931901" w:rsidRDefault="00931901" w:rsidP="00931901">
      <w:pPr>
        <w:tabs>
          <w:tab w:val="left" w:pos="426"/>
        </w:tabs>
        <w:spacing w:after="0" w:line="240" w:lineRule="auto"/>
        <w:ind w:left="-567" w:right="-427" w:firstLine="567"/>
        <w:jc w:val="both"/>
        <w:rPr>
          <w:rFonts w:ascii="Times New Roman" w:eastAsia="Times New Roman" w:hAnsi="Times New Roman" w:cs="Times New Roman"/>
          <w:sz w:val="28"/>
          <w:szCs w:val="28"/>
        </w:rPr>
      </w:pPr>
      <w:bookmarkStart w:id="2" w:name="OLE_LINK70"/>
      <w:r w:rsidRPr="00931901">
        <w:rPr>
          <w:rFonts w:ascii="Times New Roman" w:eastAsia="Times New Roman" w:hAnsi="Times New Roman" w:cs="Times New Roman"/>
          <w:sz w:val="28"/>
          <w:szCs w:val="28"/>
        </w:rPr>
        <w:t xml:space="preserve">През 2025 г. в района на Окръжна прокуратура Пазарджик са били наблюдавани общо 6923 досъдебни производства, при 7123 досъдебни производства  за 2024г. и 6205 досъдебни производства за 2023 г. </w:t>
      </w:r>
    </w:p>
    <w:p w14:paraId="2FD712C2" w14:textId="77777777" w:rsidR="00931901" w:rsidRPr="00931901" w:rsidRDefault="00931901" w:rsidP="00931901">
      <w:pPr>
        <w:tabs>
          <w:tab w:val="left" w:pos="426"/>
        </w:tabs>
        <w:spacing w:after="0" w:line="240" w:lineRule="auto"/>
        <w:ind w:left="-567" w:right="-427" w:firstLine="567"/>
        <w:jc w:val="both"/>
        <w:rPr>
          <w:rFonts w:ascii="Times New Roman" w:eastAsia="Times New Roman" w:hAnsi="Times New Roman" w:cs="Times New Roman"/>
          <w:sz w:val="28"/>
          <w:szCs w:val="28"/>
        </w:rPr>
      </w:pPr>
      <w:r w:rsidRPr="00931901">
        <w:rPr>
          <w:rFonts w:ascii="Times New Roman" w:eastAsia="Times New Roman" w:hAnsi="Times New Roman" w:cs="Times New Roman"/>
          <w:sz w:val="28"/>
          <w:szCs w:val="28"/>
        </w:rPr>
        <w:t>През отчетната 2025 г. броят на наблюдаваните досъдебни производства бележи намаление в сравнение с предходната 2024 год. - с 2.81 %, и увеличение  спрямо  2023 г. - с 11,57 %.</w:t>
      </w:r>
    </w:p>
    <w:bookmarkEnd w:id="2"/>
    <w:p w14:paraId="68F77890" w14:textId="77777777" w:rsidR="00931901" w:rsidRPr="00931901" w:rsidRDefault="00931901" w:rsidP="00931901">
      <w:pPr>
        <w:tabs>
          <w:tab w:val="left" w:pos="426"/>
        </w:tabs>
        <w:spacing w:after="0" w:line="240" w:lineRule="auto"/>
        <w:ind w:left="-567" w:right="-427" w:firstLine="567"/>
        <w:jc w:val="both"/>
        <w:rPr>
          <w:rFonts w:ascii="Times New Roman" w:eastAsia="Times New Roman" w:hAnsi="Times New Roman" w:cs="Times New Roman"/>
          <w:color w:val="FF0000"/>
          <w:sz w:val="28"/>
          <w:szCs w:val="28"/>
        </w:rPr>
      </w:pPr>
      <w:r w:rsidRPr="00931901">
        <w:rPr>
          <w:rFonts w:ascii="Times New Roman" w:eastAsia="Times New Roman" w:hAnsi="Times New Roman" w:cs="Times New Roman"/>
          <w:color w:val="FF0000"/>
          <w:sz w:val="28"/>
          <w:szCs w:val="28"/>
        </w:rPr>
        <w:t xml:space="preserve"> </w:t>
      </w:r>
      <w:r w:rsidRPr="00931901">
        <w:rPr>
          <w:rFonts w:ascii="Times New Roman" w:eastAsia="Times New Roman" w:hAnsi="Times New Roman" w:cs="Times New Roman"/>
          <w:sz w:val="28"/>
          <w:szCs w:val="28"/>
        </w:rPr>
        <w:t xml:space="preserve">Новообразуваните досъдебни производства през 2025 г. са 2710,  през 2024 г. са били 2810 досъдебни производства, а през 2023 г. – 2565 досъдебни производства. През 2025 г. се отчита намаление с 3, 56% на новообразуваните производства спрямо 2024 г.  и увеличение спрямо 2023 год. с 5,35 % .  </w:t>
      </w:r>
    </w:p>
    <w:p w14:paraId="78D90F37" w14:textId="77777777" w:rsidR="00931901" w:rsidRPr="00931901" w:rsidRDefault="00931901" w:rsidP="00931901">
      <w:pPr>
        <w:tabs>
          <w:tab w:val="left" w:pos="426"/>
        </w:tabs>
        <w:spacing w:after="0" w:line="240" w:lineRule="auto"/>
        <w:ind w:left="-567" w:right="-427" w:firstLine="567"/>
        <w:jc w:val="both"/>
        <w:rPr>
          <w:rFonts w:ascii="Times New Roman" w:eastAsia="Times New Roman" w:hAnsi="Times New Roman" w:cs="Times New Roman"/>
          <w:sz w:val="28"/>
          <w:szCs w:val="28"/>
        </w:rPr>
      </w:pPr>
      <w:r w:rsidRPr="00931901">
        <w:rPr>
          <w:rFonts w:ascii="Times New Roman" w:eastAsia="Times New Roman" w:hAnsi="Times New Roman" w:cs="Times New Roman"/>
          <w:sz w:val="28"/>
          <w:szCs w:val="28"/>
        </w:rPr>
        <w:t xml:space="preserve">През отчетната 2025 г. </w:t>
      </w:r>
      <w:bookmarkStart w:id="3" w:name="OLE_LINK76"/>
      <w:bookmarkStart w:id="4" w:name="OLE_LINK75"/>
      <w:r w:rsidRPr="00931901">
        <w:rPr>
          <w:rFonts w:ascii="Times New Roman" w:eastAsia="Times New Roman" w:hAnsi="Times New Roman" w:cs="Times New Roman"/>
          <w:sz w:val="28"/>
          <w:szCs w:val="28"/>
        </w:rPr>
        <w:t>броя на новообразуваните досъдебни производства съставлява 39,14 % от общо наблюдаваните дела.</w:t>
      </w:r>
      <w:bookmarkEnd w:id="3"/>
      <w:bookmarkEnd w:id="4"/>
      <w:r w:rsidRPr="00931901">
        <w:rPr>
          <w:rFonts w:ascii="Times New Roman" w:eastAsia="Times New Roman" w:hAnsi="Times New Roman" w:cs="Times New Roman"/>
          <w:sz w:val="28"/>
          <w:szCs w:val="28"/>
        </w:rPr>
        <w:t xml:space="preserve"> За сравнение това процентно съотношение през 2024 г. е 39.4 %, а през 2023 г. е 41,3%.</w:t>
      </w:r>
    </w:p>
    <w:p w14:paraId="215BE5DA" w14:textId="77777777" w:rsid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p>
    <w:p w14:paraId="62C07C21" w14:textId="2EA8EB69"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lastRenderedPageBreak/>
        <w:t>Резултатите по този показател говорят за добра работа на прокурорите в района на Окръжна прокуратура - Пазарджик.</w:t>
      </w:r>
    </w:p>
    <w:p w14:paraId="0D66E1A5"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Почти непроменено, сравнено с предходните две години, остава процентното съотношение на решени към нерешени преписки - 96,61% към 3,39%. През 2024 г. това съотношение е било 95,57% към 4,43%, а през 2023 г.- 94,22 % към 5,78 %.</w:t>
      </w:r>
    </w:p>
    <w:p w14:paraId="3EEB40BF"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Налице е устойчивост по отношение срочността при решаване на преписките.</w:t>
      </w:r>
    </w:p>
    <w:p w14:paraId="621FB601"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През настоящата отчетна година, както и през 2024 г. и 2023 г., 99,9 % от преписките са решени от прокурорите в срок до 1 месец.</w:t>
      </w:r>
    </w:p>
    <w:p w14:paraId="75961D4D"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През отчетната 2025 г., в срок над 1 месец са решени 0,1% от преписките, всички наблюдавани от Районна прокуратура - Пазарджик. През 2024 г. в срок над 1 месец са били решени 0,1 % от преписките, всички наблюдавани от Окръжна прокуратура Пазарджик. През 2023 г. също в срок над 1 месец са били решени 0,1% от преписките - на Районна прокуратура Пазарджик.</w:t>
      </w:r>
    </w:p>
    <w:p w14:paraId="1AEF041E"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В сравнение с предходната отчетна година е налице леко влошаване на показателя срочност на приключване на възложените проверки. Извън законовия срок по чл. 145, ал. 2 от ЗСВ през 2025 г. са приключени 55 възложени проверки, докато през 2024 г. броят им е бил 19.</w:t>
      </w:r>
    </w:p>
    <w:p w14:paraId="5E7DB12A"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През отчетния период прокурорите от Окръжна прокуратура - Пазарджик са решили общо 271 инстанционни преписки с 318 прокурорски акта. Броят на отменените постановление за отказ е 32, а потвърдените постановления за отказ са 111.</w:t>
      </w:r>
    </w:p>
    <w:p w14:paraId="17026FED"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През 2024 г. са били решени общо 414 инстанционни преписки с 449 прокурорски акта. Броят на отменените постановления за отказ е бил 28, а потвърдените постановления за отказ са били 110.</w:t>
      </w:r>
    </w:p>
    <w:p w14:paraId="538C9E81"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През 2023 г. са били решени общо 201 инстанционни преписки с 222 прокурорски акта. Броят на отменените постановления за отказ е бил 31, а потвърдените постановления за отказ са били 87.</w:t>
      </w:r>
    </w:p>
    <w:p w14:paraId="54A998AC" w14:textId="77777777" w:rsidR="00283385" w:rsidRPr="00283385" w:rsidRDefault="00283385" w:rsidP="00283385">
      <w:pPr>
        <w:widowControl w:val="0"/>
        <w:spacing w:after="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Относителният дял на отменените постановления за отказ спрямо общия брой решени инстанционни преписки през отчетната година е 11,8%. През 2024 г. този дял е бил 6,76%, а през 2023 г. - 15,4%. Резултатите по този показател сочат за леко влошаване на работата на прокурорите от Районна прокуратура- Пазарджик в сравнение с предходната отчетна година.</w:t>
      </w:r>
    </w:p>
    <w:p w14:paraId="0952E836" w14:textId="77777777" w:rsidR="00283385" w:rsidRPr="00283385" w:rsidRDefault="00283385" w:rsidP="00283385">
      <w:pPr>
        <w:widowControl w:val="0"/>
        <w:spacing w:after="320" w:line="240" w:lineRule="auto"/>
        <w:ind w:firstLine="600"/>
        <w:jc w:val="both"/>
        <w:rPr>
          <w:rFonts w:ascii="Times New Roman" w:eastAsia="Times New Roman" w:hAnsi="Times New Roman" w:cs="Times New Roman"/>
          <w:sz w:val="28"/>
          <w:szCs w:val="28"/>
          <w:lang w:eastAsia="en-US"/>
        </w:rPr>
      </w:pPr>
      <w:r w:rsidRPr="00283385">
        <w:rPr>
          <w:rFonts w:ascii="Times New Roman" w:eastAsia="Times New Roman" w:hAnsi="Times New Roman" w:cs="Times New Roman"/>
          <w:sz w:val="28"/>
          <w:szCs w:val="28"/>
          <w:lang w:eastAsia="en-US"/>
        </w:rPr>
        <w:t>Горните данни налагат извод, че през настоящата отчетна година значително е намален броя на решените инстанционни преписки в сравнение с решените такива през 2024 г. и леко увеличен в сравнение с броя на решените преписки от тази категория през 2023 г.</w:t>
      </w:r>
    </w:p>
    <w:p w14:paraId="7CC3AA12" w14:textId="77777777" w:rsidR="00660716" w:rsidRDefault="00660716" w:rsidP="00660716">
      <w:pPr>
        <w:pStyle w:val="a4"/>
        <w:tabs>
          <w:tab w:val="left" w:pos="426"/>
        </w:tabs>
        <w:ind w:left="-567" w:right="-427" w:firstLine="567"/>
        <w:jc w:val="both"/>
        <w:rPr>
          <w:rFonts w:ascii="Times New Roman" w:eastAsia="Times New Roman" w:hAnsi="Times New Roman" w:cs="Times New Roman"/>
          <w:b/>
          <w:color w:val="000000" w:themeColor="text1"/>
          <w:sz w:val="28"/>
          <w:szCs w:val="28"/>
          <w:lang w:val="en-US" w:bidi="bg-BG"/>
        </w:rPr>
      </w:pPr>
      <w:r>
        <w:rPr>
          <w:rFonts w:ascii="Times New Roman" w:eastAsia="Times New Roman" w:hAnsi="Times New Roman" w:cs="Times New Roman"/>
          <w:b/>
          <w:color w:val="000000" w:themeColor="text1"/>
          <w:sz w:val="28"/>
          <w:szCs w:val="28"/>
          <w:lang w:bidi="bg-BG"/>
        </w:rPr>
        <w:t>Съдебна фаза.</w:t>
      </w:r>
    </w:p>
    <w:p w14:paraId="7960769D"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отчетната 2025 г. постановените от съда решения са 861, като от тях 819 са осъдителни и санкционни съдебни решения. През 2024 г. постановените от съда решения са били 879, като 827 от тях са били осъдителни и санкционни съдебни </w:t>
      </w:r>
      <w:r>
        <w:rPr>
          <w:rFonts w:ascii="Times New Roman" w:eastAsia="Times New Roman" w:hAnsi="Times New Roman" w:cs="Times New Roman"/>
          <w:sz w:val="28"/>
          <w:szCs w:val="28"/>
        </w:rPr>
        <w:lastRenderedPageBreak/>
        <w:t>решения, а през 2023 г. постановените от съда решения са били 854, от които 805 са били осъдителни и санкционни съдебни решения.</w:t>
      </w:r>
    </w:p>
    <w:p w14:paraId="04B34B77"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Относителният дял на осъдителните и санкционни решения за 2025 г.- 819, спрямо общо постановените от съда 861 решения е 95,12%. Относителният дял на осъдителните и санкционни решения за 2024 г. – 827, спрямо постановените от съда решения– 879 е бил 94,08 %. През 2023 г. от общо постановените от съда решения - 854, осъдителните и санкционни решения са били 805, т. е. относителният им дял е бил 94,26 %.  </w:t>
      </w:r>
    </w:p>
    <w:p w14:paraId="6D62D364"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Относителният дял на осъдителните и санкционни решения за 2025 г. спрямо всички постановени от съда решения е 95,1%, при 94,08% за 2024 г. и 94,26% за 2023 г.    </w:t>
      </w:r>
    </w:p>
    <w:p w14:paraId="0354A84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Цифровото изражение на съотношението налага извод, че през 2025 г. е налице увеличение на осъдителните и санкционни решения, спрямо постановените от съда решения през предходните години.</w:t>
      </w:r>
    </w:p>
    <w:p w14:paraId="61C78214"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отчетната 2025 г. внесените прокурорски актове в съд - 789 съставляват 91,63% от общо постановените от съда решения. През 2024 г. внесените 823 прокурорски актове са съставлявали 93,63% от общо постановените от съда 879 решения, а през 2023 г. внесените прокурорски актове в съд- 798 са съставлявали 93,44% от постановените от съда решения.</w:t>
      </w:r>
    </w:p>
    <w:p w14:paraId="3DD62983"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2025 г. съдът е постановил 372 осъдителни присъди по внесени обвинителни актове, които съставляват 45,42% от всички осъдителни и санкционни съдебни решения. През 2024 г. постановените от съда осъдителни присъди по внесени обвинителни актове са били 360 и са съставлявали 43,53% от всички осъдителни и санкционни решения. През 2023 г. съдът е постановил 359 осъдителни присъди по внесени обвинителни актови и същите са съставлявали 44,6% от всички осъдителни и санкционни решения.</w:t>
      </w:r>
    </w:p>
    <w:p w14:paraId="5C0354D0"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реда на чл. 373, ал. 3, вр. чл. 372, ал. 4, вр. чл. 371, ал. 2 НПК постановените през 2025 г. осъдителни присъди са 55 или  6,72% от постановените осъдителни и санкционни решения. За 2024 г. те са били 49 или 5,93% от постановените осъдителни и санкционни решения, а за 2023 г. са били 39 или 4,84% от постановените осъдителни и санкционни решения.</w:t>
      </w:r>
    </w:p>
    <w:p w14:paraId="06D9A1AF"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32"/>
          <w:szCs w:val="28"/>
        </w:rPr>
      </w:pPr>
      <w:r>
        <w:rPr>
          <w:rFonts w:ascii="Times New Roman" w:eastAsia="Times New Roman" w:hAnsi="Times New Roman" w:cs="Times New Roman"/>
          <w:color w:val="000000"/>
          <w:sz w:val="28"/>
          <w:szCs w:val="28"/>
        </w:rPr>
        <w:t xml:space="preserve">През 2025 г. от общо внесените от прокурор 328 предложения за споразумение по чл. 381 от НПК, съдът е одобрил 325 от тях, като 3 предложения за споразумения не са одобрени - всички, поради допуснати нарушения на закона и процесуалните правила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в нарушение на чл. 381, ал. 2 и 3 НПК</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p>
    <w:p w14:paraId="661C5C30"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2024 г. от общо 427 споразумения, внесени тогава от прокурор по правилото на чл. 381 от НПК, съдът е бил одобрил 419 , като 8 споразумения не са били одобрени, 7 от които поради допуснати нарушения на чл. 381, ал.2 и ал.3 НПК.</w:t>
      </w:r>
    </w:p>
    <w:p w14:paraId="69097E5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2025 г. от общо внесени 78 постановления за освобождаване от наказателна отговорност с налагане на административно наказание, съдът е уважил 74, като 41 от тях са решени със споразумение по чл. 375а, ал. 3 от НПК.</w:t>
      </w:r>
    </w:p>
    <w:p w14:paraId="2C3FE44F"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2025 г. са внесени общо 48 предложения за споразумение по чл. 375а, ал. 1 от НПК, като всички са одобрени от съда.</w:t>
      </w:r>
    </w:p>
    <w:p w14:paraId="2A268058"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 прокурорските актове, внесени в съда през отчетната 2025 г. са предадени на съд общо 845 лица.</w:t>
      </w:r>
    </w:p>
    <w:p w14:paraId="22167B0D"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През 2025 г. осъдените и санкционирани лица по внесените прокурорски актове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обвинителни актове, споразумения по чл. 381 от НПК, предложения по чл. 78а от НК, споразумения по чл. 375а, ал. 1 от НПК</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са 840 или 99,4% от всички предадени на съд лица.    </w:t>
      </w:r>
    </w:p>
    <w:p w14:paraId="537B555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През предходната отчетна 2024 г. по внесените прокурорски актове са били предадени на съд общо 874 лица. О</w:t>
      </w:r>
      <w:r>
        <w:rPr>
          <w:rFonts w:ascii="Times New Roman" w:eastAsia="Times New Roman" w:hAnsi="Times New Roman" w:cs="Times New Roman"/>
          <w:color w:val="000000"/>
          <w:sz w:val="28"/>
          <w:szCs w:val="28"/>
        </w:rPr>
        <w:t xml:space="preserve">съдените и санкционирани лица </w:t>
      </w:r>
      <w:r>
        <w:rPr>
          <w:rFonts w:ascii="Times New Roman" w:eastAsia="Times New Roman" w:hAnsi="Times New Roman" w:cs="Times New Roman"/>
          <w:sz w:val="28"/>
          <w:szCs w:val="28"/>
        </w:rPr>
        <w:t xml:space="preserve">по внесените прокурорски актове (обвинителни актове, споразумения по чл.381 от НПК и предложения по чл.375 от НПК) </w:t>
      </w:r>
      <w:r>
        <w:rPr>
          <w:rFonts w:ascii="Times New Roman" w:eastAsia="Times New Roman" w:hAnsi="Times New Roman" w:cs="Times New Roman"/>
          <w:color w:val="000000"/>
          <w:sz w:val="28"/>
          <w:szCs w:val="28"/>
        </w:rPr>
        <w:t xml:space="preserve"> са  били 846 или 96,80 % от всички предадени на съд лица.</w:t>
      </w:r>
    </w:p>
    <w:p w14:paraId="3D8616F1"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През 2023 г.</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са били осъдени и санкционирани 834 лица от общо предадените на съд 874 лица или 95,42 % от всички предадени на съд лица. </w:t>
      </w:r>
    </w:p>
    <w:p w14:paraId="5C2AECB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Осъдените и санкционирани лица с влезли в сила присъди/решения за 2025 г. са 798 или 94,43% от общо предадените на съд 845 лица. За 2024 г. осъдените и санкционирани лица с влезли в сила присъди/решения са били 820 или 93,82% от общо предадените на съд 874 лица, а за 2023 г. тези лица са били 808 и са съставлявали 92,45% от всички, предадени тогава на съд 874 лица.</w:t>
      </w:r>
    </w:p>
    <w:p w14:paraId="75C75E00"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2025 г. оправданите лица с влезли в сила оправдателни присъди/решения са 16 или 1,89 % от предадените на съд лица. За сравнение през 2024 г.  оправданите лица с влязла в сила оправдателна присъда/решение са били също 16 и са съставлявали 1,83 % от предадените на съд, а за  2023 г. оправданите с влязла в сила оправдателна присъда/решение лица са били 22 или 2,52</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 от предадените на съд. </w:t>
      </w:r>
    </w:p>
    <w:p w14:paraId="7C6E1112"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2025 г. общият брой на върнатите от съда дела е 21. Съотношението между върнатите дела и внесените в съда 789 прокурорски актове е  2,66%. За 2024 г. върнатите от съда дела са били 27 броя. Съотношението между върнатите актове и внесени 823 прокурорски актове  е било 3,3</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За 2023 г. върнатите от съда дела са били 31 броя. Съотношението между върнатите актове и внесените тогава в съда 798 прокурорски актове е било 3,</w:t>
      </w:r>
      <w:r>
        <w:rPr>
          <w:rFonts w:ascii="Times New Roman" w:eastAsia="Times New Roman" w:hAnsi="Times New Roman" w:cs="Times New Roman"/>
          <w:color w:val="000000"/>
          <w:sz w:val="28"/>
          <w:szCs w:val="28"/>
          <w:lang w:val="en-US"/>
        </w:rPr>
        <w:t xml:space="preserve">9 </w:t>
      </w:r>
      <w:r>
        <w:rPr>
          <w:rFonts w:ascii="Times New Roman" w:eastAsia="Times New Roman" w:hAnsi="Times New Roman" w:cs="Times New Roman"/>
          <w:color w:val="000000"/>
          <w:sz w:val="28"/>
          <w:szCs w:val="28"/>
        </w:rPr>
        <w:t xml:space="preserve">%. </w:t>
      </w:r>
    </w:p>
    <w:p w14:paraId="2591CF1C" w14:textId="77777777" w:rsidR="00660716" w:rsidRDefault="00660716" w:rsidP="00660716">
      <w:pPr>
        <w:widowControl w:val="0"/>
        <w:shd w:val="clear" w:color="auto" w:fill="FFFFFF"/>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Като обобщение може да се изведат следните тенденции и изводи за отчетната 2025 г.:</w:t>
      </w:r>
    </w:p>
    <w:p w14:paraId="65C32A7B" w14:textId="77777777" w:rsidR="00660716" w:rsidRDefault="00660716" w:rsidP="00660716">
      <w:pPr>
        <w:widowControl w:val="0"/>
        <w:numPr>
          <w:ilvl w:val="0"/>
          <w:numId w:val="43"/>
        </w:numPr>
        <w:shd w:val="clear" w:color="auto" w:fill="FFFFFF"/>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И през тази отчетна година е налице тенденция за увеличение на абсолютния брой наблюдавани преписки спрямо предходната 2024 г. За разлика от предходната отчетна година, през настоящата е налице увеличаване на новообразуваните преписки.</w:t>
      </w:r>
    </w:p>
    <w:p w14:paraId="0B418B33" w14:textId="77777777" w:rsidR="00660716" w:rsidRDefault="00660716" w:rsidP="00660716">
      <w:pPr>
        <w:numPr>
          <w:ilvl w:val="0"/>
          <w:numId w:val="43"/>
        </w:num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Налице е устойчивост по отношение срочността при решаване на преписките. </w:t>
      </w:r>
    </w:p>
    <w:p w14:paraId="6C85E72F" w14:textId="77777777" w:rsidR="00660716" w:rsidRDefault="00660716" w:rsidP="00660716">
      <w:pPr>
        <w:numPr>
          <w:ilvl w:val="0"/>
          <w:numId w:val="43"/>
        </w:num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През настоящата отчетна година, както и през 2024 г. и 2023 г., 99,9 % от преписките са решени от прокурорите в срок до 1 месец. </w:t>
      </w:r>
    </w:p>
    <w:p w14:paraId="6802F719" w14:textId="77777777" w:rsidR="00660716" w:rsidRDefault="00660716" w:rsidP="00660716">
      <w:pPr>
        <w:widowControl w:val="0"/>
        <w:numPr>
          <w:ilvl w:val="0"/>
          <w:numId w:val="43"/>
        </w:numPr>
        <w:shd w:val="clear" w:color="auto" w:fill="FFFFFF"/>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Times New Roman" w:hAnsi="Times New Roman" w:cs="Times New Roman"/>
          <w:color w:val="000000" w:themeColor="text1"/>
          <w:sz w:val="28"/>
          <w:szCs w:val="28"/>
          <w:lang w:bidi="bg-BG"/>
        </w:rPr>
        <w:t>В сравнение с предходната отчетна година е налице леко влошаване на показателя срочност на приключване на възложените проверки.</w:t>
      </w:r>
    </w:p>
    <w:p w14:paraId="54CE7231" w14:textId="77777777" w:rsidR="00660716" w:rsidRDefault="00660716" w:rsidP="00660716">
      <w:pPr>
        <w:pStyle w:val="11"/>
        <w:numPr>
          <w:ilvl w:val="0"/>
          <w:numId w:val="43"/>
        </w:numPr>
        <w:tabs>
          <w:tab w:val="left" w:pos="426"/>
        </w:tabs>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Наблюдава се тенденция на увеличаване на новообразуваните преписки през 2025 г.- общо 5946, като през 2024 г. новообразуваните преписки са били 5454, а през 2023 г.- 5484, като през отчетната 2025 г. прокурорите са решили 6447 преписки или 96,61 % от общо наблюдаваните преписки.</w:t>
      </w:r>
    </w:p>
    <w:p w14:paraId="0EFFA229" w14:textId="77777777" w:rsidR="00660716" w:rsidRDefault="00660716" w:rsidP="00660716">
      <w:pPr>
        <w:pStyle w:val="11"/>
        <w:numPr>
          <w:ilvl w:val="0"/>
          <w:numId w:val="43"/>
        </w:numPr>
        <w:tabs>
          <w:tab w:val="left" w:pos="426"/>
        </w:tabs>
        <w:ind w:left="-567" w:right="-427" w:firstLine="567"/>
        <w:jc w:val="both"/>
        <w:rPr>
          <w:rFonts w:ascii="Times New Roman" w:eastAsia="Times New Roman" w:hAnsi="Times New Roman" w:cs="Times New Roman"/>
          <w:color w:val="000000" w:themeColor="text1"/>
          <w:lang w:bidi="bg-BG"/>
        </w:rPr>
      </w:pPr>
      <w:r>
        <w:rPr>
          <w:rFonts w:ascii="Times New Roman" w:eastAsia="Times New Roman" w:hAnsi="Times New Roman" w:cs="Times New Roman"/>
          <w:color w:val="000000" w:themeColor="text1"/>
          <w:lang w:bidi="bg-BG"/>
        </w:rPr>
        <w:t xml:space="preserve">През този отчетен период, проблемите, свързани с работата по преписките, преповтарят тези от предходните години. За поредна година се наблюдава </w:t>
      </w:r>
      <w:r>
        <w:rPr>
          <w:rFonts w:ascii="Times New Roman" w:eastAsia="Times New Roman" w:hAnsi="Times New Roman" w:cs="Times New Roman"/>
          <w:color w:val="000000" w:themeColor="text1"/>
          <w:lang w:bidi="bg-BG"/>
        </w:rPr>
        <w:lastRenderedPageBreak/>
        <w:t xml:space="preserve">тенденцията в занижаване качеството на работата на полицейските служители по предварителни проверки, както и неизпълнението в пълен обем на писмените указания на прокурора. Събират се данни, които не са достатъчни и не изясняват в пълнота проверяваните случаи. Не се изпълняват в законоустановения срок на проверките всички дадени указания от наблюдаващия прокурор, необходими за преценка относно образуване на досъдебно производство или отказ по реда на чл. 213 от НПК. </w:t>
      </w:r>
    </w:p>
    <w:p w14:paraId="7FFCC8FF" w14:textId="77777777" w:rsidR="00660716" w:rsidRDefault="00660716" w:rsidP="00660716">
      <w:pPr>
        <w:widowControl w:val="0"/>
        <w:numPr>
          <w:ilvl w:val="0"/>
          <w:numId w:val="43"/>
        </w:num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Както през предходните години, така и през отчетната 2025 г. се наблюдава активност от страна на Агенцията по приходите за сигнализиране на Прокуратурата с данни за извършени престъпления. Сигналите са били основателни и в по – голямата част от случаите са били образувани наказателни производства. Препоръката е и за в бъдеще да се запази този ритъм на работа. От наблюдаваните в периода досъдебни производства са 100 броя, 14 броя са внесени в съда с прокурорски акт и има 9 осъдени с влязъл в сила съдебен акт.</w:t>
      </w:r>
    </w:p>
    <w:p w14:paraId="1FB7D121" w14:textId="77777777" w:rsidR="00660716" w:rsidRDefault="00660716" w:rsidP="00660716">
      <w:pPr>
        <w:numPr>
          <w:ilvl w:val="0"/>
          <w:numId w:val="43"/>
        </w:num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През отчетна година, в сравнение с предходната 2024 г., се наблюдава увеличение на относителния дял на приключилите досъдебни производства, спрямо общо наблюдаваните и намаление спрямо приключените през 2023 год. </w:t>
      </w:r>
    </w:p>
    <w:p w14:paraId="69DEA771" w14:textId="77777777" w:rsidR="00660716" w:rsidRDefault="00660716" w:rsidP="00660716">
      <w:pPr>
        <w:numPr>
          <w:ilvl w:val="0"/>
          <w:numId w:val="43"/>
        </w:num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И през настоящата отчетна година, както и през предходните две, прокурорите от региона на Окръжна прокуратура Пазарджик са работили при висока средна натовареност. </w:t>
      </w:r>
    </w:p>
    <w:p w14:paraId="1DCA8CB2" w14:textId="77777777" w:rsidR="00660716" w:rsidRDefault="00660716" w:rsidP="00660716">
      <w:pPr>
        <w:numPr>
          <w:ilvl w:val="0"/>
          <w:numId w:val="43"/>
        </w:num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Налице един положителен показател в работата на прокурорите – при тенденция на запазване на броя на наблюдаваните и решените дела, спрямо предходните две години  през 2025 г.  няма  решени ДП  извън законоустановения срок. Този показател е положителен, както за работата на прокурорите, така и за тяхната ефективност и допринася за оптимизиране на разследванията и приключването на дела. </w:t>
      </w:r>
    </w:p>
    <w:p w14:paraId="7E8438B1" w14:textId="77777777" w:rsidR="00660716" w:rsidRDefault="00660716" w:rsidP="00660716">
      <w:pPr>
        <w:numPr>
          <w:ilvl w:val="0"/>
          <w:numId w:val="43"/>
        </w:numPr>
        <w:tabs>
          <w:tab w:val="left" w:pos="284"/>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През отчетната година се наблюдава  намаление с над 50 % на  относителния дял на досъдебни производства, при които продължителността на досъдебната фаза е над 2 години – общо 60 ДП, от които 49 дела наблюдавани от РП Пазарджик и 11 дела наблюдавани от ОП Пазарджик. Тази положителна  тенденция следва да се  продължи през настоящата 2026 г. с цел осигуряване и гарантиране на по – бързо и ефективно правораздаване. </w:t>
      </w:r>
    </w:p>
    <w:p w14:paraId="317FC8B3" w14:textId="77777777" w:rsidR="00660716" w:rsidRDefault="00660716" w:rsidP="00660716">
      <w:pPr>
        <w:widowControl w:val="0"/>
        <w:numPr>
          <w:ilvl w:val="0"/>
          <w:numId w:val="43"/>
        </w:numPr>
        <w:tabs>
          <w:tab w:val="left" w:pos="426"/>
        </w:tabs>
        <w:spacing w:after="0" w:line="240" w:lineRule="auto"/>
        <w:ind w:left="-567" w:right="-427" w:firstLine="567"/>
        <w:jc w:val="both"/>
        <w:rPr>
          <w:rFonts w:ascii="Times New Roman" w:eastAsia="Times New Roman" w:hAnsi="Times New Roman" w:cs="Times New Roman"/>
          <w:color w:val="000000" w:themeColor="text1"/>
          <w:spacing w:val="-4"/>
          <w:sz w:val="28"/>
          <w:szCs w:val="28"/>
        </w:rPr>
      </w:pPr>
      <w:r>
        <w:rPr>
          <w:rFonts w:ascii="Times New Roman" w:eastAsia="Cambria" w:hAnsi="Times New Roman" w:cs="Times New Roman"/>
          <w:color w:val="000000" w:themeColor="text1"/>
          <w:sz w:val="28"/>
          <w:szCs w:val="28"/>
        </w:rPr>
        <w:t xml:space="preserve">Обвинителните актове и споразуменията имат относително равен дял </w:t>
      </w:r>
      <w:r>
        <w:rPr>
          <w:rFonts w:ascii="Times New Roman" w:eastAsia="Times New Roman" w:hAnsi="Times New Roman" w:cs="Times New Roman"/>
          <w:color w:val="000000" w:themeColor="text1"/>
          <w:sz w:val="28"/>
          <w:szCs w:val="28"/>
          <w:lang w:eastAsia="en-US"/>
        </w:rPr>
        <w:t>от общо внесените в съда актове по решените досъдебни производства, с лек превес на обвинителните актове.</w:t>
      </w:r>
    </w:p>
    <w:p w14:paraId="0E43522C" w14:textId="77777777" w:rsidR="00660716" w:rsidRDefault="00660716" w:rsidP="00660716">
      <w:pPr>
        <w:numPr>
          <w:ilvl w:val="0"/>
          <w:numId w:val="43"/>
        </w:num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За разлика от тенденцията, установена от сравнителния анализ на данните през предходната отчетна година, през 2025 г. е налице тенденция на намаляване на броя образувани в съда дела, както и на внесените прокурорски актове. </w:t>
      </w:r>
    </w:p>
    <w:p w14:paraId="47B41EFA"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През отчетната година се наблюдава леко увеличение на решенията на съда по внесени обвинителни актове - 407. Налице е намаление на общия брой решения на съда по внесени предложения за споразумение по чл. 381 от НПК– 328, като през 2024 г. те са били 426, а през  2023 г.-358.</w:t>
      </w:r>
    </w:p>
    <w:p w14:paraId="6415311D"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сравнение с 2024 г. през настоящата отчетна година е налице увеличение на решенията на съда по внесени постановления за освобождаване от наказателна отговорност с налагане на административно наказание по чл. 78а от НК - общо 78, </w:t>
      </w:r>
      <w:r>
        <w:rPr>
          <w:rFonts w:ascii="Times New Roman" w:eastAsia="Times New Roman" w:hAnsi="Times New Roman" w:cs="Times New Roman"/>
          <w:color w:val="000000"/>
          <w:sz w:val="28"/>
          <w:szCs w:val="28"/>
        </w:rPr>
        <w:lastRenderedPageBreak/>
        <w:t>като през 2024 г. са били 51. В същото време е налице намаление на тези решения на съда в сравнение с 2023 г., когато са били 95.</w:t>
      </w:r>
    </w:p>
    <w:p w14:paraId="1C0A0CA4"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През 2025 г. решенията на съда по предложенията за споразумение по чл. 375а, ал. 1 от НПК са 48, като през 2024 г. е имало само едно такова решение.  </w:t>
      </w:r>
    </w:p>
    <w:p w14:paraId="4893A0A8"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Броят на предадените на съд лица през отчетната година е 845, като през всяка от предходните две години - 2024 г. и  2023 г. предадените на съд лица са били 874. </w:t>
      </w:r>
    </w:p>
    <w:p w14:paraId="628725E5"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През 2025 г. е налице минимално увеличение на относителния дял на осъдителните и санкционни решения, спрямо общо постановените от съда решения в сравнение с предходните 2024 г. и 2023 г. </w:t>
      </w:r>
    </w:p>
    <w:p w14:paraId="75C5AC5D"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rPr>
        <w:t>През отчетната 2025 г., 55 от общо 143 осъдителни присъди са постановени по реда на съкратеното съдебно следствие, като през 2024 г. те са били 49 от общо 150 осъдителни присъди, а през 2023 г.- 39 от общо 147 осъдителни присъди. Тези</w:t>
      </w:r>
      <w:r>
        <w:rPr>
          <w:rFonts w:ascii="Times New Roman" w:eastAsia="Times New Roman" w:hAnsi="Times New Roman" w:cs="Times New Roman"/>
          <w:color w:val="000000" w:themeColor="text1"/>
          <w:sz w:val="28"/>
          <w:szCs w:val="28"/>
          <w:lang w:eastAsia="ar-SA"/>
        </w:rPr>
        <w:t xml:space="preserve"> данни налагат извод, че тази диференцирана процедура намира приложение по делата, внесени с обвинителни актове от прокурорите от Пазарджишкия съдебен район. Решаването на делата с осъдителен съдебен акт по реда на съкратеното съдебно следствие е резултат от проведено обективно, всестранно и пълно разследване, в хода на което са събрани в достатъчна степен  категорични доказателства по повдигнатите обвинения, което е позитив за работата на прокуратурата. В случаите, когато обвинението не е приело определеният от съда размер на наказанието като справедливо, са внасяни протести против постановените съдебни актове.</w:t>
      </w:r>
    </w:p>
    <w:p w14:paraId="3B725463"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Анализът на данните на постановените от съда влезли в сила оправдателни присъди/решения</w:t>
      </w:r>
      <w:r>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за 2025 г. сочи на стабилитет по този показател и изключително много нисък процент на постановените от съда и влезли в сила оправдателни актове. Прокурорите от Пазарджишкия съдебен район са се справили изключително добре, тъй като е видно, че спрямо постановените съдебни решения броят на влезлите в сила оправдателни присъди/решения е нисък и процентът е пренебрежимо малък. Данните сочат на продължаваща тенденция през последните години за стойности на влезлите в сила оправдателни присъди и решения до 2%, който показател, отразен обективно не може да доведе до извод за негативна работа на прокурорите от Окръжна прокуратура- Пазарджик и Районна прокуратура - Пазарджик, напротив- следва да бъде отчетено в положителен аспект.</w:t>
      </w:r>
    </w:p>
    <w:p w14:paraId="2C1C2352"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Отбелязва се известно намаляване на върнатите от съда дела в сравнение с предходните години, което е положително и показателно </w:t>
      </w:r>
      <w:r>
        <w:rPr>
          <w:rFonts w:ascii="Times New Roman" w:eastAsia="Times New Roman" w:hAnsi="Times New Roman" w:cs="Times New Roman"/>
          <w:color w:val="000000" w:themeColor="text1"/>
          <w:sz w:val="28"/>
          <w:szCs w:val="28"/>
          <w:lang w:eastAsia="ar-SA"/>
        </w:rPr>
        <w:t xml:space="preserve">за добре изготвени и мотивирани прокурорски актове. Тази тенденция следва да се запази и занапред. </w:t>
      </w:r>
      <w:r>
        <w:rPr>
          <w:rFonts w:ascii="Times New Roman" w:eastAsia="Times New Roman" w:hAnsi="Times New Roman" w:cs="Times New Roman"/>
          <w:color w:val="000000" w:themeColor="text1"/>
          <w:sz w:val="28"/>
          <w:szCs w:val="28"/>
        </w:rPr>
        <w:t xml:space="preserve"> </w:t>
      </w:r>
    </w:p>
    <w:p w14:paraId="4E83D3F5"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По отношение на протестите: Причините за </w:t>
      </w:r>
      <w:proofErr w:type="spellStart"/>
      <w:r>
        <w:rPr>
          <w:rFonts w:ascii="Times New Roman" w:eastAsia="Times New Roman" w:hAnsi="Times New Roman" w:cs="Times New Roman"/>
          <w:color w:val="000000" w:themeColor="text1"/>
          <w:sz w:val="28"/>
          <w:szCs w:val="28"/>
        </w:rPr>
        <w:t>неуважаване</w:t>
      </w:r>
      <w:proofErr w:type="spellEnd"/>
      <w:r>
        <w:rPr>
          <w:rFonts w:ascii="Times New Roman" w:eastAsia="Times New Roman" w:hAnsi="Times New Roman" w:cs="Times New Roman"/>
          <w:color w:val="000000" w:themeColor="text1"/>
          <w:sz w:val="28"/>
          <w:szCs w:val="28"/>
        </w:rPr>
        <w:t xml:space="preserve"> на протестите от съда са следните: различна оценка на доказателствата от съда и от прокуратурата, която води до различни правни изводи; недостатъчна обоснованост на протестите, подаване на „</w:t>
      </w:r>
      <w:proofErr w:type="spellStart"/>
      <w:r>
        <w:rPr>
          <w:rFonts w:ascii="Times New Roman" w:eastAsia="Times New Roman" w:hAnsi="Times New Roman" w:cs="Times New Roman"/>
          <w:color w:val="000000" w:themeColor="text1"/>
          <w:sz w:val="28"/>
          <w:szCs w:val="28"/>
        </w:rPr>
        <w:t>бланкетни</w:t>
      </w:r>
      <w:proofErr w:type="spellEnd"/>
      <w:r>
        <w:rPr>
          <w:rFonts w:ascii="Times New Roman" w:eastAsia="Times New Roman" w:hAnsi="Times New Roman" w:cs="Times New Roman"/>
          <w:color w:val="000000" w:themeColor="text1"/>
          <w:sz w:val="28"/>
          <w:szCs w:val="28"/>
        </w:rPr>
        <w:t xml:space="preserve">“ протести, без да се прави анализ на мотивите към атакувания съдебен акт. Следва да се акцентира, че подаването на протест винаги следва да се предхожда от задълбочена и обективна преценка за наличието на процесуални основания за протестиране на съдебния акт, както и внимателното проучване на мотивите на съдебния акт и на доказателствата по делото.  Следва да се продължи утвърдената практика на анализ на причините, довели до </w:t>
      </w:r>
      <w:r>
        <w:rPr>
          <w:rFonts w:ascii="Times New Roman" w:eastAsia="Times New Roman" w:hAnsi="Times New Roman" w:cs="Times New Roman"/>
          <w:color w:val="000000" w:themeColor="text1"/>
          <w:sz w:val="28"/>
          <w:szCs w:val="28"/>
        </w:rPr>
        <w:lastRenderedPageBreak/>
        <w:t xml:space="preserve">постановяване на оправдателни присъди и </w:t>
      </w:r>
      <w:proofErr w:type="spellStart"/>
      <w:r>
        <w:rPr>
          <w:rFonts w:ascii="Times New Roman" w:eastAsia="Times New Roman" w:hAnsi="Times New Roman" w:cs="Times New Roman"/>
          <w:color w:val="000000" w:themeColor="text1"/>
          <w:sz w:val="28"/>
          <w:szCs w:val="28"/>
        </w:rPr>
        <w:t>неуважаване</w:t>
      </w:r>
      <w:proofErr w:type="spellEnd"/>
      <w:r>
        <w:rPr>
          <w:rFonts w:ascii="Times New Roman" w:eastAsia="Times New Roman" w:hAnsi="Times New Roman" w:cs="Times New Roman"/>
          <w:color w:val="000000" w:themeColor="text1"/>
          <w:sz w:val="28"/>
          <w:szCs w:val="28"/>
        </w:rPr>
        <w:t>/оставяне без разглеждане на протестите.</w:t>
      </w:r>
    </w:p>
    <w:p w14:paraId="32674FAC" w14:textId="77777777" w:rsidR="00660716" w:rsidRDefault="00660716" w:rsidP="00660716">
      <w:pPr>
        <w:pStyle w:val="a4"/>
        <w:numPr>
          <w:ilvl w:val="0"/>
          <w:numId w:val="43"/>
        </w:numPr>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Стриктно продължава да се следи срочността по привеждане на наказанията в изпълнение. Получените за изпълнение присъди с ефективни наказания, се изпълняват (изпращат от прокурора на съответните органи) незабавно, като в повечето случаи това става още в деня на тяхното разпределение. Присъдите, по които осъдените лица не са задържани или са с неустановено местонахождение са обект на особено внимание. Лицата се обявяват своевременно за общодържавно издирване, като регулярно се изискват справки за хода на издирвателните мероприятия.</w:t>
      </w:r>
    </w:p>
    <w:p w14:paraId="40684204"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Продължава взаимодействието на Окръжна прокуратура Пазарджик и Районна прокуратура Пазарджик с териториалните отделения по места с контролните органи за противодействие на закононарушенията и престъпленията в защита на обществения интерес и правата на гражданите, а също и проверките свързани с постоянния, текущ надзор за законност на административните актове на общинските администрации и областната управа по ЗМСМА, ЗОС, ЗОП, ЗА и др. Прокурорите продължават да изпълняват задълженията си, произтичащи от Конституцията на РБългария, законите на страната и указанията на по-</w:t>
      </w:r>
      <w:proofErr w:type="spellStart"/>
      <w:r>
        <w:rPr>
          <w:rFonts w:ascii="Times New Roman" w:eastAsia="Cambria" w:hAnsi="Times New Roman" w:cs="Times New Roman"/>
          <w:sz w:val="28"/>
        </w:rPr>
        <w:t>горестоящите</w:t>
      </w:r>
      <w:proofErr w:type="spellEnd"/>
      <w:r>
        <w:rPr>
          <w:rFonts w:ascii="Times New Roman" w:eastAsia="Cambria" w:hAnsi="Times New Roman" w:cs="Times New Roman"/>
          <w:sz w:val="28"/>
        </w:rPr>
        <w:t xml:space="preserve"> прокуратури, въпреки, че с изменението на Конституцията на РБългария ДВ бр. 106/22.12.2023 г. правомощията им бяха ограничени.</w:t>
      </w:r>
    </w:p>
    <w:p w14:paraId="7AB966B2" w14:textId="77777777" w:rsidR="00660716" w:rsidRDefault="00660716" w:rsidP="00660716">
      <w:pPr>
        <w:pStyle w:val="11"/>
        <w:numPr>
          <w:ilvl w:val="0"/>
          <w:numId w:val="43"/>
        </w:numPr>
        <w:tabs>
          <w:tab w:val="left" w:pos="426"/>
        </w:tabs>
        <w:ind w:left="-567" w:right="-427" w:firstLine="567"/>
        <w:jc w:val="both"/>
        <w:rPr>
          <w:rFonts w:ascii="Times New Roman" w:hAnsi="Times New Roman" w:cs="Times New Roman"/>
        </w:rPr>
      </w:pPr>
      <w:r>
        <w:rPr>
          <w:rFonts w:ascii="Times New Roman" w:hAnsi="Times New Roman" w:cs="Times New Roman"/>
        </w:rPr>
        <w:t>През отчетната 2025г. по делата с международен елемент в региона на Окръжна прокуратура Пазарджик продължава да съществува изключително добра организация, осигуряваща произнасянето в кратки срокове. Прокурорите спазват указанията на отдел „Международен” при Върховна касационна прокуратура и съобразяват в пряката си работа международните актове, обнародвани и влезли в сила, по които Република България е страна.</w:t>
      </w:r>
    </w:p>
    <w:p w14:paraId="35A5B34D" w14:textId="77777777" w:rsidR="00660716" w:rsidRDefault="00660716" w:rsidP="00660716">
      <w:pPr>
        <w:pStyle w:val="11"/>
        <w:numPr>
          <w:ilvl w:val="0"/>
          <w:numId w:val="43"/>
        </w:numPr>
        <w:tabs>
          <w:tab w:val="left" w:pos="426"/>
        </w:tabs>
        <w:ind w:left="-567" w:right="-427" w:firstLine="567"/>
        <w:jc w:val="both"/>
        <w:rPr>
          <w:rFonts w:ascii="Times New Roman" w:hAnsi="Times New Roman" w:cs="Times New Roman"/>
        </w:rPr>
      </w:pPr>
      <w:r>
        <w:rPr>
          <w:rFonts w:ascii="Times New Roman" w:hAnsi="Times New Roman"/>
        </w:rPr>
        <w:t>През отчетната 2025г. международното сътрудничество по наказателни дела на прокурорите от Съдебен район Пазарджик се осъществяваше предимно с  магистратите от другите държави - членки на Европейския съюз</w:t>
      </w:r>
    </w:p>
    <w:p w14:paraId="30DC5589" w14:textId="77777777" w:rsidR="00660716" w:rsidRDefault="00660716" w:rsidP="00660716">
      <w:pPr>
        <w:numPr>
          <w:ilvl w:val="0"/>
          <w:numId w:val="43"/>
        </w:num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Отчита се намаляване на обема на дейност на следователите от ОСО при ОП Пазарджик спрямо предходните две години. Средната натовареност на един следовател през 2025 г., спрямо предходната 2024  година намалява, но остава по –висока в сравнение с 2023 г., поради по –малкият брой на реално работилите следователи през отчетната година.  </w:t>
      </w:r>
    </w:p>
    <w:p w14:paraId="0FCA23F7" w14:textId="77777777" w:rsidR="00660716" w:rsidRDefault="00660716" w:rsidP="00660716">
      <w:pPr>
        <w:pStyle w:val="a4"/>
        <w:ind w:left="-567" w:right="-427" w:firstLine="567"/>
        <w:jc w:val="both"/>
        <w:rPr>
          <w:rFonts w:ascii="Times New Roman" w:eastAsia="Cambria" w:hAnsi="Times New Roman" w:cs="Times New Roman"/>
          <w:color w:val="FF0000"/>
          <w:sz w:val="28"/>
          <w:szCs w:val="28"/>
        </w:rPr>
      </w:pPr>
    </w:p>
    <w:p w14:paraId="58D2813D" w14:textId="77777777" w:rsidR="00660716" w:rsidRDefault="00660716" w:rsidP="00660716">
      <w:pPr>
        <w:pStyle w:val="a4"/>
        <w:tabs>
          <w:tab w:val="left" w:pos="426"/>
        </w:tabs>
        <w:ind w:left="-567" w:right="-427"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Фактори с актуално и дългосрочно значение за ефективността на органите на досъдебното производство и на другите правоприлагащи органи, ангажирани с противодействието на престъпността.</w:t>
      </w:r>
    </w:p>
    <w:p w14:paraId="1EB4D814" w14:textId="77777777" w:rsidR="00660716" w:rsidRDefault="00660716" w:rsidP="00660716">
      <w:pPr>
        <w:pStyle w:val="a4"/>
        <w:numPr>
          <w:ilvl w:val="0"/>
          <w:numId w:val="44"/>
        </w:numPr>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Прекаленият формализъм на досъдебното производство, което съгласно НПК има само подготвителен характер.</w:t>
      </w:r>
    </w:p>
    <w:p w14:paraId="1AD245B8" w14:textId="77777777" w:rsidR="00660716" w:rsidRDefault="00660716" w:rsidP="00660716">
      <w:pPr>
        <w:pStyle w:val="a4"/>
        <w:numPr>
          <w:ilvl w:val="0"/>
          <w:numId w:val="44"/>
        </w:numPr>
        <w:tabs>
          <w:tab w:val="left" w:pos="426"/>
          <w:tab w:val="left" w:pos="567"/>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Професионалния опит и квалификацията на правоприлагащите органи.</w:t>
      </w:r>
    </w:p>
    <w:p w14:paraId="0FC95E24" w14:textId="77777777" w:rsidR="00660716" w:rsidRDefault="00660716" w:rsidP="00660716">
      <w:pPr>
        <w:pStyle w:val="a4"/>
        <w:numPr>
          <w:ilvl w:val="0"/>
          <w:numId w:val="44"/>
        </w:numPr>
        <w:tabs>
          <w:tab w:val="left" w:pos="426"/>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Подобряване ефективността на разследванията по дела за корупционни престъпления със създаване на екипи с експертно участие, с представители на МВР, ДАНС.  </w:t>
      </w:r>
    </w:p>
    <w:p w14:paraId="3B2D4AB1" w14:textId="77777777" w:rsidR="00660716" w:rsidRDefault="00660716" w:rsidP="00660716">
      <w:pPr>
        <w:pStyle w:val="a4"/>
        <w:numPr>
          <w:ilvl w:val="0"/>
          <w:numId w:val="44"/>
        </w:numPr>
        <w:tabs>
          <w:tab w:val="left" w:pos="426"/>
          <w:tab w:val="left" w:pos="567"/>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Недостигът на квалифицирани специалисти (вещи лица, съдебни лекари, автоексперти, преводачи) за целите на наказателното производство, включително и </w:t>
      </w:r>
      <w:r>
        <w:rPr>
          <w:rFonts w:ascii="Times New Roman" w:hAnsi="Times New Roman" w:cs="Times New Roman"/>
          <w:sz w:val="28"/>
          <w:szCs w:val="28"/>
        </w:rPr>
        <w:lastRenderedPageBreak/>
        <w:t>по дела за престъпления от особен обществен интерес, продължава да има негативно влияние не само върху срочността, но и върху качеството на разследванията.</w:t>
      </w:r>
      <w:r>
        <w:rPr>
          <w:rFonts w:ascii="Times New Roman" w:hAnsi="Times New Roman"/>
          <w:sz w:val="28"/>
          <w:szCs w:val="28"/>
        </w:rPr>
        <w:t xml:space="preserve"> </w:t>
      </w:r>
    </w:p>
    <w:p w14:paraId="53974A4E" w14:textId="77777777" w:rsidR="00660716" w:rsidRDefault="00660716" w:rsidP="00660716">
      <w:pPr>
        <w:pStyle w:val="a4"/>
        <w:tabs>
          <w:tab w:val="left" w:pos="426"/>
          <w:tab w:val="left" w:pos="567"/>
        </w:tabs>
        <w:ind w:left="-567" w:right="-427" w:firstLine="567"/>
        <w:jc w:val="both"/>
        <w:rPr>
          <w:rFonts w:ascii="Times New Roman" w:hAnsi="Times New Roman" w:cs="Times New Roman"/>
          <w:color w:val="FF0000"/>
          <w:sz w:val="28"/>
          <w:szCs w:val="28"/>
        </w:rPr>
      </w:pPr>
    </w:p>
    <w:p w14:paraId="6E0A82A7" w14:textId="77777777" w:rsidR="00660716" w:rsidRDefault="00660716" w:rsidP="00660716">
      <w:pPr>
        <w:pStyle w:val="a4"/>
        <w:tabs>
          <w:tab w:val="left" w:pos="426"/>
          <w:tab w:val="left" w:pos="567"/>
        </w:tabs>
        <w:ind w:left="-567" w:right="-427"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 Необходими мерки и законодателни промени.</w:t>
      </w:r>
    </w:p>
    <w:p w14:paraId="24432539" w14:textId="77777777" w:rsidR="00660716" w:rsidRDefault="00660716" w:rsidP="00660716">
      <w:pPr>
        <w:pStyle w:val="a4"/>
        <w:tabs>
          <w:tab w:val="left" w:pos="426"/>
          <w:tab w:val="left" w:pos="567"/>
        </w:tabs>
        <w:ind w:left="-567" w:right="-427" w:firstLine="567"/>
        <w:jc w:val="both"/>
        <w:rPr>
          <w:rFonts w:ascii="Times New Roman" w:hAnsi="Times New Roman" w:cs="Times New Roman"/>
          <w:color w:val="000000" w:themeColor="text1"/>
          <w:sz w:val="28"/>
          <w:szCs w:val="28"/>
        </w:rPr>
      </w:pPr>
      <w:r>
        <w:rPr>
          <w:noProof/>
        </w:rPr>
        <mc:AlternateContent>
          <mc:Choice Requires="wpi">
            <w:drawing>
              <wp:anchor distT="0" distB="0" distL="114300" distR="114300" simplePos="0" relativeHeight="251659264" behindDoc="0" locked="0" layoutInCell="1" allowOverlap="1" wp14:anchorId="166A75D8" wp14:editId="0D37A6F4">
                <wp:simplePos x="0" y="0"/>
                <wp:positionH relativeFrom="column">
                  <wp:posOffset>2707005</wp:posOffset>
                </wp:positionH>
                <wp:positionV relativeFrom="paragraph">
                  <wp:posOffset>128905</wp:posOffset>
                </wp:positionV>
                <wp:extent cx="3288665" cy="2466975"/>
                <wp:effectExtent l="19050" t="19050" r="26035" b="28575"/>
                <wp:wrapNone/>
                <wp:docPr id="5" name="Ръкопис 5"/>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8">
                          <w14:nvContentPartPr>
                            <w14:cNvContentPartPr>
                              <a14:cpLocks noRot="1" noChangeAspect="1" noEditPoints="1" noChangeArrowheads="1" noChangeShapeType="1"/>
                            </w14:cNvContentPartPr>
                          </w14:nvContentPartPr>
                          <w14:xfrm>
                            <a:off x="0" y="0"/>
                            <a:ext cx="3275965" cy="245427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a:pic>
                          <a:nvPicPr>
                            <a:cNvPr id="5" name="Ink 5"/>
                            <a:cNvPicPr>
                              <a:picLocks noRot="1" noChangeAspect="1" noEditPoints="1" noChangeArrowheads="1" noChangeShapeType="1"/>
                            </a:cNvPicPr>
                          </a:nvPicPr>
                          <a:blipFill>
                            <a:blip xmlns:r="http://schemas.openxmlformats.org/officeDocument/2006/relationships" r:embed="rId10"/>
                            <a:stretch>
                              <a:fillRect/>
                            </a:stretch>
                          </a:blipFill>
                          <a:spPr>
                            <a:xfrm>
                              <a:off x="-6480" y="-6480"/>
                              <a:ext cx="3288925" cy="2467236"/>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type w14:anchorId="6C32B6D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ъкопис 5" o:spid="_x0000_s1026" type="#_x0000_t75" style="position:absolute;margin-left:212.65pt;margin-top:9.65pt;width:259.45pt;height:19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QyKnkGwEAAGECAAATAAAAW0NvbnRlbnRfVHlwZXNdLnhtbISSTU7DMBBG&#10;90jcwfIWJU67QAgl6YKUJSBUDmA5k8Sq/+Qxob09dtpKUGiz8MKeed88Wy5XO63ICB6lNRVd5AUl&#10;YIRtpekr+rF5zh4owcBNy5U1UNE9IF3VtzflZu8ASaQNVnQIwT0yhmIAzTG3DkysdNZrHuLW98xx&#10;seU9sGVR3DNhTQATspAyaF020PFPFch6F48PJqA7Sp4OfWlURaVO/C5LFfYv40HhGcSdU1LwEG/H&#10;RtOemWVHqzySUw8O0uFdVL8wIVV+W/0ccORe43N62QJ54z68cB3dWeuRwdI2VuTXM5Kkxsx2nRSQ&#10;Nx7XE3VyupQtzZbFtZhJjy1azWW19st4GGei/og2EXuH8ZTOpg9SfwM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GmEps1ABAAA2g8AAA4AAABkcnMvZTJvRG9j&#10;LnhtbLxX227bOBB9L7D/IOg9kSXLii1EKYpkUxToxch2P4CmqIiweClJ+fL3Hepm2XJbywj6YlOi&#10;eHhm5nBmeP9+xwpnQ5SmgieufztxHcKxSCl/Tdz/vz/fzF1HG8RTVAhOEndPtPv+4Z9391sZk0Dk&#10;okiJcgCE63grEzc3Rsaep3FOGNK3QhIOk5lQDBl4VK9eqtAW0FnhBZNJ5G2FSqUSmGgNb5/qSfeh&#10;ws8ygs23LNPEOEXiRuFs5jrGDsLIdVTiAtuV/fUe7lH8qpDMKW7IoCu4MEQ5bN1BPSGDnFLRARSj&#10;WAktMnOLBfNEllFMKkvAJn9yYtMnvgZQhuMPhSGKI0MeBTeEm4YpwwP8M25jSK1LeQP7SWToihbU&#10;7CsPuq3BfjjAOcuzCUBNtTEZ2D3mAqxwXsiPkiqiExf5oY2DH+JSxbimvESqpV1PXLalDfLBNayA&#10;sG2/iBT0hEojWgsgoH+WT+3sJ4FLBi6sPOApUoBPBNc5lRqEEdM0cdWn1D/w55vG6daCpTrY9fV0&#10;AsyOsfws8Fo7XLwI0JvvwugxR/yVfNASNNm8+jelZikoN+Ct/jdKiW1OUHr8+r8cSfJ9L8Fq3yrW&#10;a107oNDO/Ir0LlPMyhR84eyqU7DvTgHZGQfDy2lwN1tEcF4wzAXhLITn/q41RrtTL7xArFNDJdtn&#10;VBQrhNeNzkTilorHzQm/6SRmpWkZgYiavzaum9+t2Fg1NPnDn/zuywbbaqlbcYlijjNMm3cq4Tcb&#10;FxedwJPEVYBCSPqI+AaB5ioLErcjJiH2J2LuPHVJ0qjE0qHZzDsCrUmrPc/KN8hhbZQkVIYRZAb5&#10;8KMSpexM8yM9zjh/VuVXiKPeM7LrA6UmgzIxglsQdliwtipSNqzHmGk+DrPO/5ZfalKoIDnSeQ8x&#10;LcfBTVuKVsd+lJY9rFFI/rxB6gFgmylHOMyvCzYYByv7OARSzhiclouH+yGcjQMJBgaF4wDaUHWW&#10;yEuL6HFFGzYwzWFhAz5nSvu5kgbtUieat6qLdZYV5MIzAq3MwoNyUmjT+gex6YV66TUZdx6DUl9M&#10;O71Al7Ue+OVsduyhRB6sanng3fwKgJnnhx7OoQE4aA7v7q5Dmg6RouuQgiHShefgyD1gnT9EuvBA&#10;nCJNhkjTq6xbDIGC0UBg2sQLzljnXwG18OZDTqNxBkLaymETcVbTv8ocTSdh+zpJsf3jmyXFtldF&#10;Mf66WSrHJmvo6DhiUDLhWuFUHV09234Ja/9G79rf1DuiuiqofKZFYWnbMbTjhK0IULcdOdzY6jT0&#10;Rkmtuvlpo4jBud0xg51foEO3/TWKuwkY93lpWbv1pJG+icI5EISGuR5V4IeGej5fBF1DHd0F06hq&#10;qFHcwkilzUcimGMHYC/wgBsIitHms24YtZ/U9CoawK0KuG272167bsJPL4zVouaaa++m/WcY96/k&#10;Dz8BAAD//wMAUEsDBBQABgAIAAAAIQDLPr+P6gEAABsFAAAQAAAAZHJzL2luay9pbmsxLnhtbKxT&#10;TW+cMBS8V+p/sNzzgrGzLKBADpUiVWrVqNlK7ZGAAStgr2yzH/++xoCJNqSqqlyQsT3zZuY9396d&#10;uxYcqVRM8BQGHoKA8kKUjNcp/Lm/30QQKJ3zMm8Fpym8UAXvso8fbhl/7trEfIFh4GpYdW0KG60P&#10;ie+fTifvRDwhax8jRPwv/PnbV5hNqJJWjDNtSqp5qxBc07MeyBJWprDQZ+TuG+5H0cuCuuNhRxbL&#10;DS3zgt4L2eXaMTY557QFPO+M7l8Q6MvBLJipU1MJQZefjeEYG8e9EaNMzQ766+jfb6BRdI32bQ7J&#10;23oepDhQqRldrI9Cp4MLKMZ/q3kUL6kSbT/kBcExb3tjI8ReQLYxduIDf0X+a07j5G+cN3i3277i&#10;nExNwl46mE5cg+b4NOuoGZvu4DqmlYlq2H7U0g4XRjjcILxBu31AEhImJPBijIcWzPXGmZg5n2Sv&#10;Gsf3JJfu2xPndfR3YqVuXFzIQ2SLzSyvtHoN3VBWN/q/4RXTe/G5l0fqKIJlttYKspoLSR9Mp1Uv&#10;r1BTHBbmwll5Q3bowPSSftAqhZ/sMwIWOW7Y2EgUgjAi4Ry0Bc4x/yuLbeb3qlJUpxAHUQQzZFi3&#10;+B1ZI2Ka/N6sAY53MczigNwAdCV2mefsDwAAAP//AwBQSwMEFAAGAAgAAAAhAFetjHXgAAAACgEA&#10;AA8AAABkcnMvZG93bnJldi54bWxMj8FKw0AQhu+C77CM4M3uGlNNYzZFhIIVPLRa6HGaHZNgdjdm&#10;t2n69o4nPQ3D9/PPN8Vysp0YaQitdxpuZwoEucqb1tUaPt5XNxmIENEZ7LwjDWcKsCwvLwrMjT+5&#10;DY3bWAsucSFHDU2MfS5lqBqyGGa+J8fs0w8WI69DLc2AJy63nUyUupcWW8cXGuzpuaHqa3u0Gkbz&#10;PV/bF2XeML6e92vcPKx2jdbXV9PTI4hIU/wLw68+q0PJTgd/dCaITkOazO84ymDBkwOLNE1AHJio&#10;LANZFvL/C+UPAAAA//8DAFBLAwQUAAYACAAAACEAL5dIDd8AAACzAQAAGQAAAGRycy9fcmVscy9l&#10;Mm9Eb2MueG1sLnJlbHOskD1LBEEMhnvB/zCkd7JrISI3e40I18oJtnEmuzvcfDEzJ96/N9rogWJj&#10;kSIkefLwbrZvMahXrs3nZGDUAyhONjufFgNP+4erW1CtU3IUcmIDJ26wnS4vNo8cqMtRW31pSiip&#10;GVh7L3eIza4cqelcOMlkzjVSl7YuWMgeaGG8HoYbrN8ZMJ0x1c4ZqDs3gtqfinz+m53n2Vu+z/YY&#10;OfUfXqA9tp7jcwwCpbpwN+DTAaVGLaKAvzhIKv8n4aME8CWgNdrgy0um6jCy84SfG6PmOH8Y4VnU&#10;0zsAAAD//wMAUEsDBBQABgAIAAAAIQDv8x3igQEAAJQFAAAaAAAAY2xpcGJvYXJkL21lZGlhL2lt&#10;YWdlMS5lbWbslLtKA1EQhv+jCYZ42UQ3IAjiikEhVZAFwQtaaBe08QVS2/kCKXwECx/AxsIUkmKb&#10;NHmDFFZWFnkJUfSbsEcPimBjpQMfO/Of2dk5wyRO0hlM5Bw76QXf2/KatLkkrRy2jiSny6KEM873&#10;OfbsTElbBSmi0AY1Qrsql7R/UVAVcQYmoQwV8GZ6xQc8z8E0swRK0AbTrLyvZT4tjqGLXdzcPny7&#10;2zosguWHVifwNRcCfxvfvnkKJ+DtNbdZhJrrRjV3E1XddTQNRXDEDt25HnGGnnGekdeDbrTDe1Z3&#10;D6yfCjzBPDxD2IPvDbkT3PGAOLfOu293DGe2Smz3snZDPUGz77fzc5tHNfCD73w7S9+XvRv2+5OZ&#10;pcqiVHdRU7dRA+qQECfoifrEA/QB5wPy+pB9mZnd1WbGuo13NezB98bR/8wYgt+zvzazUdzQKK7r&#10;MU70APcwJB6iD+MmcYqecp6S14SGPv82Wyy4zc3+E23XfmPP5qgbg1kFzH8DAAD//wMAUEsBAi0A&#10;FAAGAAgAAAAhAJDIqeQbAQAAYQIAABMAAAAAAAAAAAAAAAAAAAAAAFtDb250ZW50X1R5cGVzXS54&#10;bWxQSwECLQAUAAYACAAAACEAOP0h/9YAAACUAQAACwAAAAAAAAAAAAAAAABMAQAAX3JlbHMvLnJl&#10;bHNQSwECLQAUAAYACAAAACEAaYSmzUAEAADaDwAADgAAAAAAAAAAAAAAAABLAgAAZHJzL2Uyb0Rv&#10;Yy54bWxQSwECLQAUAAYACAAAACEAyz6/j+oBAAAbBQAAEAAAAAAAAAAAAAAAAAC3BgAAZHJzL2lu&#10;ay9pbmsxLnhtbFBLAQItABQABgAIAAAAIQBXrYx14AAAAAoBAAAPAAAAAAAAAAAAAAAAAM8IAABk&#10;cnMvZG93bnJldi54bWxQSwECLQAUAAYACAAAACEAL5dIDd8AAACzAQAAGQAAAAAAAAAAAAAAAADc&#10;CQAAZHJzL19yZWxzL2Uyb0RvYy54bWwucmVsc1BLAQItABQABgAIAAAAIQDv8x3igQEAAJQFAAAa&#10;AAAAAAAAAAAAAAAAAPIKAABjbGlwYm9hcmQvbWVkaWEvaW1hZ2UxLmVtZlBLBQYAAAAABwAHAMAB&#10;AACrDAAAAAA=&#10;">
                <v:imagedata r:id="rId11" o:title="" cropbottom="-185f" cropright="-139f"/>
                <o:lock v:ext="edit" rotation="t" verticies="t" shapetype="t"/>
              </v:shape>
            </w:pict>
          </mc:Fallback>
        </mc:AlternateContent>
      </w:r>
      <w:r>
        <w:rPr>
          <w:rFonts w:ascii="Times New Roman" w:hAnsi="Times New Roman" w:cs="Times New Roman"/>
          <w:color w:val="000000" w:themeColor="text1"/>
          <w:sz w:val="28"/>
          <w:szCs w:val="28"/>
        </w:rPr>
        <w:t>Повишаване квалификацията и ефективността на разследващите органи, особено що се касае до разследването на икономически престъпления.</w:t>
      </w:r>
    </w:p>
    <w:p w14:paraId="3EF7CC8E" w14:textId="77777777" w:rsidR="00660716" w:rsidRDefault="00660716" w:rsidP="00660716">
      <w:pPr>
        <w:pStyle w:val="a4"/>
        <w:tabs>
          <w:tab w:val="left" w:pos="426"/>
          <w:tab w:val="left" w:pos="567"/>
        </w:tabs>
        <w:ind w:left="-567" w:right="-427"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Продължава да е сериозен и проблемът с намирането и назначаването на вещи лица, както и на преводачи по делата.</w:t>
      </w:r>
    </w:p>
    <w:p w14:paraId="436F3D0D" w14:textId="77777777" w:rsidR="00926581" w:rsidRPr="00E40514" w:rsidRDefault="00926581" w:rsidP="00660716">
      <w:pPr>
        <w:pStyle w:val="a4"/>
        <w:tabs>
          <w:tab w:val="left" w:pos="426"/>
          <w:tab w:val="left" w:pos="1134"/>
        </w:tabs>
        <w:ind w:right="-284"/>
        <w:jc w:val="both"/>
        <w:rPr>
          <w:rFonts w:ascii="Times New Roman" w:eastAsia="Times New Roman" w:hAnsi="Times New Roman" w:cs="Times New Roman"/>
          <w:b/>
          <w:color w:val="000000" w:themeColor="text1"/>
          <w:sz w:val="28"/>
          <w:szCs w:val="28"/>
          <w:lang w:bidi="bg-BG"/>
        </w:rPr>
      </w:pPr>
    </w:p>
    <w:p w14:paraId="36782F01" w14:textId="77777777" w:rsidR="00660716" w:rsidRDefault="00660716" w:rsidP="00660716">
      <w:pPr>
        <w:pStyle w:val="a4"/>
        <w:tabs>
          <w:tab w:val="left" w:pos="426"/>
          <w:tab w:val="left" w:pos="567"/>
        </w:tabs>
        <w:ind w:left="-567" w:right="-427" w:firstLine="567"/>
        <w:jc w:val="center"/>
        <w:rPr>
          <w:rFonts w:ascii="Times New Roman" w:eastAsia="Times New Roman" w:hAnsi="Times New Roman" w:cs="Times New Roman"/>
          <w:b/>
          <w:color w:val="000000" w:themeColor="text1"/>
          <w:sz w:val="28"/>
          <w:szCs w:val="28"/>
          <w:lang w:bidi="bg-BG"/>
        </w:rPr>
      </w:pPr>
      <w:r>
        <w:rPr>
          <w:rFonts w:ascii="Times New Roman" w:eastAsia="Times New Roman" w:hAnsi="Times New Roman" w:cs="Times New Roman"/>
          <w:b/>
          <w:color w:val="000000" w:themeColor="text1"/>
          <w:sz w:val="28"/>
          <w:szCs w:val="28"/>
          <w:lang w:bidi="bg-BG"/>
        </w:rPr>
        <w:t xml:space="preserve">РАЗДЕЛ </w:t>
      </w:r>
      <w:r>
        <w:rPr>
          <w:rFonts w:ascii="Times New Roman" w:eastAsia="Times New Roman" w:hAnsi="Times New Roman" w:cs="Times New Roman"/>
          <w:b/>
          <w:color w:val="000000" w:themeColor="text1"/>
          <w:sz w:val="28"/>
          <w:szCs w:val="28"/>
          <w:lang w:val="en-US" w:bidi="bg-BG"/>
        </w:rPr>
        <w:t>II</w:t>
      </w:r>
      <w:r>
        <w:rPr>
          <w:rFonts w:ascii="Times New Roman" w:eastAsia="Times New Roman" w:hAnsi="Times New Roman" w:cs="Times New Roman"/>
          <w:b/>
          <w:color w:val="000000" w:themeColor="text1"/>
          <w:sz w:val="28"/>
          <w:szCs w:val="28"/>
          <w:lang w:bidi="bg-BG"/>
        </w:rPr>
        <w:t>. ДЕЙНОСТ НА ТЕРИТОРИАЛНИТЕ ПРОКУРАТУРИ</w:t>
      </w:r>
    </w:p>
    <w:p w14:paraId="3BB005B7" w14:textId="77777777" w:rsidR="00660716" w:rsidRDefault="00660716" w:rsidP="00660716">
      <w:pPr>
        <w:pStyle w:val="11"/>
        <w:numPr>
          <w:ilvl w:val="0"/>
          <w:numId w:val="45"/>
        </w:numPr>
        <w:tabs>
          <w:tab w:val="left" w:pos="426"/>
          <w:tab w:val="left" w:pos="3119"/>
        </w:tabs>
        <w:spacing w:after="260"/>
        <w:ind w:left="-567" w:right="-427" w:firstLine="567"/>
        <w:jc w:val="center"/>
        <w:rPr>
          <w:rFonts w:ascii="Times New Roman" w:hAnsi="Times New Roman" w:cs="Times New Roman"/>
          <w:b/>
          <w:bCs/>
          <w:color w:val="000000" w:themeColor="text1"/>
        </w:rPr>
      </w:pPr>
      <w:r>
        <w:rPr>
          <w:noProof/>
          <w:lang w:eastAsia="bg-BG"/>
        </w:rPr>
        <mc:AlternateContent>
          <mc:Choice Requires="wpi">
            <w:drawing>
              <wp:anchor distT="0" distB="0" distL="114300" distR="114300" simplePos="0" relativeHeight="251658240" behindDoc="0" locked="0" layoutInCell="1" allowOverlap="1" wp14:anchorId="2B0C9D0F" wp14:editId="1DF207B1">
                <wp:simplePos x="0" y="0"/>
                <wp:positionH relativeFrom="column">
                  <wp:posOffset>328295</wp:posOffset>
                </wp:positionH>
                <wp:positionV relativeFrom="paragraph">
                  <wp:posOffset>69850</wp:posOffset>
                </wp:positionV>
                <wp:extent cx="24765" cy="36195"/>
                <wp:effectExtent l="19050" t="19050" r="32385" b="20955"/>
                <wp:wrapNone/>
                <wp:docPr id="7" name="Ръкопис 7"/>
                <wp:cNvGraphicFramePr>
                  <a:graphicFrameLocks xmlns:a="http://schemas.openxmlformats.org/drawingml/2006/main" noChangeAspect="1"/>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ContentPartPr>
                              <a14:cpLocks noRot="1" noChangeAspect="1" noEditPoints="1" noChangeArrowheads="1" noChangeShapeType="1"/>
                            </w14:cNvContentPartPr>
                          </w14:nvContentPartPr>
                          <w14:xfrm>
                            <a:off x="0" y="0"/>
                            <a:ext cx="12065" cy="23495"/>
                          </w14:xfrm>
                        </w14:contentPart>
                      </mc:Choice>
                      <mc:Fallback xmlns:o="urn:schemas-microsoft-com:office:office" xmlns:v="urn:schemas-microsoft-com:vml" xmlns:w10="urn:schemas-microsoft-com:office:word" xmlns:w="http://schemas.openxmlformats.org/wordprocessingml/2006/main" xmlns:lc="http://schemas.openxmlformats.org/drawingml/2006/lockedCanvas" xmlns="">
                        <a:pic>
                          <a:nvPicPr>
                            <a:cNvPr id="4" name="Ink 7"/>
                            <a:cNvPicPr>
                              <a:picLocks noRot="1" noChangeAspect="1" noEditPoints="1" noChangeArrowheads="1" noChangeShapeType="1"/>
                            </a:cNvPicPr>
                          </a:nvPicPr>
                          <a:blipFill>
                            <a:blip xmlns:r="http://schemas.openxmlformats.org/officeDocument/2006/relationships" r:embed="rId13"/>
                            <a:stretch>
                              <a:fillRect/>
                            </a:stretch>
                          </a:blipFill>
                          <a:spPr>
                            <a:xfrm>
                              <a:off x="-6387" y="-6506"/>
                              <a:ext cx="24840" cy="36508"/>
                            </a:xfrm>
                            <a:prstGeom prst="rect">
                              <a:avLst/>
                            </a:prstGeom>
                          </a:spPr>
                        </a:pic>
                      </mc:Fallback>
                    </mc:AlternateContent>
                  </a:graphicData>
                </a:graphic>
                <wp14:sizeRelH relativeFrom="page">
                  <wp14:pctWidth>0</wp14:pctWidth>
                </wp14:sizeRelH>
                <wp14:sizeRelV relativeFrom="page">
                  <wp14:pctHeight>0</wp14:pctHeight>
                </wp14:sizeRelV>
              </wp:anchor>
            </w:drawing>
          </mc:Choice>
          <mc:Fallback>
            <w:pict>
              <v:shape w14:anchorId="6C33E8CA" id="Ръкопис 7" o:spid="_x0000_s1026" type="#_x0000_t75" style="position:absolute;margin-left:25.6pt;margin-top:5.15pt;width:2.2pt;height: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QyKnkGwEAAGECAAATAAAAW0NvbnRlbnRfVHlwZXNdLnhtbISSTU7DMBBG&#10;90jcwfIWJU67QAgl6YKUJSBUDmA5k8Sq/+Qxob09dtpKUGiz8MKeed88Wy5XO63ICB6lNRVd5AUl&#10;YIRtpekr+rF5zh4owcBNy5U1UNE9IF3VtzflZu8ASaQNVnQIwT0yhmIAzTG3DkysdNZrHuLW98xx&#10;seU9sGVR3DNhTQATspAyaF020PFPFch6F48PJqA7Sp4OfWlURaVO/C5LFfYv40HhGcSdU1LwEG/H&#10;RtOemWVHqzySUw8O0uFdVL8wIVV+W/0ccORe43N62QJ54z68cB3dWeuRwdI2VuTXM5Kkxsx2nRSQ&#10;Nx7XE3VyupQtzZbFtZhJjy1azWW19st4GGei/og2EXuH8ZTOpg9SfwM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IJTyUZHBAAA0g8AAA4AAABkcnMvZTJvRG9j&#10;LnhtbLxXbY+bOBD+ftL9B+TvWQIh2QQtW1W7t1WlXhvt9X6AY8yCgl/ONkn2398YMEtC2oZo1S+J&#10;wfjxMzOPZ8Z3Hw6s9HZU6ULwBAU3U+RRTkRa8JcE/fv9abJEnjaYp7gUnCbolWr04f7PP+72Mqah&#10;yEWZUuUBCNfxXiYoN0bGvq9JThnWN0JSDpOZUAwbeFQvfqrwHtBZ6YfT6cLfC5VKJQjVGt4+NpPo&#10;vsbPMkrMtyzT1HhlgmbBKkKeSVAUhivkqQQB24399e/vcPyisMwL0pLBV3BhuOCwdQf1iA32KlUM&#10;oFhBlNAiMzdEMF9kWUFobQnYFExPbPrMtwDKSPyxNFRxbOiD4IZy0zJlZIB/xm0Mq20lJ7CfxKbY&#10;FGVhXmsPImdwEA1wzvJsA9BQbU0Gdg+5ACu8Z/pfVSiqE4SDyMYhiEilYtJQXmPlaDcTl21pg/zm&#10;GlZC2PZ/ixT0hCsjnAUQ0F/Lp3H2oyAVAxfWHvAVLcEnguu8kBqEERdpgtTnNHjjz3et060Fa/Vm&#10;19fTCTA7JvKLIFvtcfEsQG8BgtFDjvkL/aglaLJ99VdamLUouAFv9b9RSuxzitPj1//kWNLvrxKs&#10;DqxifefaAQU38yPSh0wxK1PwhXeoT8FrdwrowXgEXgbhdDFHHoGZcBat5v0dm/Vul15ogVSnhFqy&#10;T7gsN5hsW42JBFWKx+3pnnTysrK0bEBA7Z+L6e5nK3ZWCW3uCKY/+7LFtjrqVlyiluPs4nJOLfp2&#10;4/Ki03eStEpQB00fMN9h0FttQYI6YhLifiLkzlOXJIxaKB2azboj0NqU2vOsfIf85aIkoSqMIDPI&#10;hZ+UqGRnWrDQ44wL5nVuhTjqV0YPfaDUZFAiRnALow4L1tYFyob1GDPNx2E2ud/yS00K1SPHOu8h&#10;ptU4uJmjaHUcLNKqhzUKKVi2SD0AYrPkCIcFTbEG42BlH4dCuhmD47j4pB/C+TiQcGBQNA7Ahaqz&#10;RF5aQI+r2bB5aQ8LG/A5U9bPlTNolTrRvFdNbLKsoBeeEWhjVj6UklIb5x/MZhfqpddg3PoMynw5&#10;6/QCHdZ24Jez2bGHsvBhleNBDssrAOZ+EPkkh+L/pjlyuL0OaTZEWlyHFA6RLjwHR+4B64Ih0oUH&#10;4hRpOkSaXWXdaggUjgYC06Z+eMa64Aqolb8cchqNMxDSXg6biLOa/lHmaDsJ29PJgtg/vlsXxPap&#10;OCZfd2vl2WQdQR+KGZRMuFJ4t82tx866L2Ht7+hbG0rNpv4R1U1ZyKeiLC1tO4ZWnLINBeq2G5+5&#10;I/xOSa2+9WmjqCG53TGDnZ+hO7e9NY67CRj3eWnZuPWkiZ4sZstb5EG7PFnMp4vGua6ZDqNlBHdN&#10;20zPYHZZN9M4dhBSafOJCubZAdgKHODmgWO8+6JbNu6ThlpNAXjVwbYtt+uzmwb89KJYL2qvt/ZO&#10;2n+Gcf8qfv8/AAAA//8DAFBLAwQUAAYACAAAACEAxHFR+t4BAAB2BAAAEAAAAGRycy9pbmsvaW5r&#10;MS54bWycU8FunDAUvFfqP1juIZcuGBN2syhsDpUiVWrVqNlK7ZHAA6yAvbLNsvv3NQZMlSVR1Asy&#10;tmfezLzn27tTU6MjSMUET3DgEYyAZyJnvEzwr/396gYjpVOep7XgkOAzKHy3+/jhlvHnpo7NFxkG&#10;rvpVUye40voQ+37XdV4XekKWPiUk9L/y5+/f8G5E5VAwzrQpqaatTHANJ92TxSxPcKZPxN033I+i&#10;lRm4435HZvMNLdMM7oVsUu0Yq5RzqBFPG6P7N0b6fDALZuqUIDFq0pMxvKXGcWvEKFOzwf4y+s8r&#10;aHLzEu3bHOLX9TxIcQCpGczWB6HjwRllw7/VPIiXoETd9nlhdEzr1thYUy8Ioy114gN/Qf4lp3Hy&#10;Fuc13WyiC87R1CjsXwfjiWvQFJ9mDZixaQ6uY1qZqPrtRy3tcFFC1ytCV2SzD8I4XMdR6EWU9i2Y&#10;6g0zMXE+yVZVju9Jzt23J87r4K9jua5cXMQjYUTNLC+0egldASsr/d/wgum9+NLKIziKYJ6tpYKs&#10;5ELCg+m0auUL1BiHhblwFt6QHTo0vqSfUCT4k31GyCKHDRvbeoPI56tVGF2RKWuLnZJ+L5Ht54+i&#10;UKATfG0GZxdStN321PSCeh6V3V8AAAD//wMAUEsDBBQABgAIAAAAIQDiW+Bb3QAAAAcBAAAPAAAA&#10;ZHJzL2Rvd25yZXYueG1sTI7NSsNAFIX3gu8wXMFNsZO0JJWYSRFBXIhCUxddTmeuSWjmTshM0/j2&#10;Xld2eX445yu3s+vFhGPoPClIlwkIJONtR42Cr/3rwyOIEDVZ3XtCBT8YYFvd3pS6sP5CO5zq2Age&#10;oVBoBW2MQyFlMC06HZZ+QOLs249OR5ZjI+2oLzzuerlKklw63RE/tHrAlxbNqT47BYfuI51Pu8/4&#10;/lYv9odkMuvNwih1fzc/P4GIOMf/MvzhMzpUzHT0Z7JB9AqydMVN9pM1CM6zLAdxZJ1vQFalvOav&#10;fgEAAP//AwBQSwMEFAAGAAgAAAAhACdnGz/fAAAAswEAABkAAABkcnMvX3JlbHMvZTJvRG9jLnht&#10;bC5yZWxzrJA9awMxDIb3Qv+D0V7rLoFSSnxZQiBrSaCrauvuTPyF7ZTk38elQxto6dJBg5D0vA9a&#10;rc/eiXfOxcagoJcdCA46GhsmBYf99uEJRKkUDLkYWMGFC6yH+7vVCzuq7ajMNhXRKKEomGtNz4hF&#10;z+ypyJg4tMkYs6fa2jxhIn2kiXHRdY+YvzNguGGKnVGQd6ZfgthfUov+Gx7H0WreRH3yHOoPGWh9&#10;C29AyhNXBVKidja9RcoGPRtLnxu9ZD8C/mL0n0L6VGr0r959SdlwxFa9bK/7cMCbVw9XAAAA//8D&#10;AFBLAwQUAAYACAAAACEA7/Md4oEBAACUBQAAGgAAAGNsaXBib2FyZC9tZWRpYS9pbWFnZTEuZW1m&#10;7JS7SgNREIb/owmGeNlENyAI4opBIVWQBcELWmgXtPEFUtv5Ail8BAsfwMbCFJJimzR5gxRWVhZ5&#10;CVH0m7BHD4pgY6UDHzvzn9nZOcMkTtIZTOQcO+kF39vymrS5JK0cto4kp8uihDPO9zn27ExJWwUp&#10;otAGNUK7Kpe0f1FQFXEGJqEMFfBmesUHPM/BNLMEStAG06y8r2U+LY6hi13c3D58u9s6LILlh1Yn&#10;8DUXAn8b3755Cifg7TW3WYSa60Y1dxNV3XU0DUVwxA7duR5xhp5xnpHXg260w3tWdw+snwo8wTw8&#10;Q9iD7w25E9zxgDi3zrtvdwxntkps97J2Qz1Bs++383ObRzXwg+98O0vfl70b9vuTmaXKolR3UVO3&#10;UQPqkBAn6In6xAP0AecD8vqQfZmZ3dVmxrqNdzXswffG0f/MGILfs782s1Hc0Ciu6zFO9AD3MCQe&#10;og/jJnGKnnKekteEhj7/NlssuM3N/hNt135jz+aoG4NZBcx/AwAA//8DAFBLAQItABQABgAIAAAA&#10;IQCQyKnkGwEAAGECAAATAAAAAAAAAAAAAAAAAAAAAABbQ29udGVudF9UeXBlc10ueG1sUEsBAi0A&#10;FAAGAAgAAAAhADj9If/WAAAAlAEAAAsAAAAAAAAAAAAAAAAATAEAAF9yZWxzLy5yZWxzUEsBAi0A&#10;FAAGAAgAAAAhAIJTyUZHBAAA0g8AAA4AAAAAAAAAAAAAAAAASwIAAGRycy9lMm9Eb2MueG1sUEsB&#10;Ai0AFAAGAAgAAAAhAMRxUfreAQAAdgQAABAAAAAAAAAAAAAAAAAAvgYAAGRycy9pbmsvaW5rMS54&#10;bWxQSwECLQAUAAYACAAAACEA4lvgW90AAAAHAQAADwAAAAAAAAAAAAAAAADKCAAAZHJzL2Rvd25y&#10;ZXYueG1sUEsBAi0AFAAGAAgAAAAhACdnGz/fAAAAswEAABkAAAAAAAAAAAAAAAAA1AkAAGRycy9f&#10;cmVscy9lMm9Eb2MueG1sLnJlbHNQSwECLQAUAAYACAAAACEA7/Md4oEBAACUBQAAGgAAAAAAAAAA&#10;AAAAAADqCgAAY2xpcGJvYXJkL21lZGlhL2ltYWdlMS5lbWZQSwUGAAAAAAcABwDAAQAAowwAAAAA&#10;">
                <v:imagedata r:id="rId14" o:title="" cropbottom="-18350f" cropright="-37449f"/>
                <o:lock v:ext="edit" rotation="t" verticies="t" shapetype="t"/>
              </v:shape>
            </w:pict>
          </mc:Fallback>
        </mc:AlternateContent>
      </w:r>
      <w:r>
        <w:rPr>
          <w:rFonts w:ascii="Times New Roman" w:hAnsi="Times New Roman" w:cs="Times New Roman"/>
          <w:b/>
          <w:bCs/>
          <w:color w:val="000000" w:themeColor="text1"/>
        </w:rPr>
        <w:t>ДОСЪДЕБНА ФАЗА</w:t>
      </w:r>
    </w:p>
    <w:p w14:paraId="6AD81AD7" w14:textId="77777777" w:rsidR="00660716" w:rsidRDefault="00660716" w:rsidP="00660716">
      <w:pPr>
        <w:pStyle w:val="11"/>
        <w:tabs>
          <w:tab w:val="left" w:pos="426"/>
          <w:tab w:val="left" w:pos="851"/>
          <w:tab w:val="left" w:pos="3038"/>
        </w:tabs>
        <w:ind w:left="-567" w:right="-427" w:firstLine="567"/>
        <w:jc w:val="both"/>
        <w:rPr>
          <w:rFonts w:ascii="Times New Roman" w:hAnsi="Times New Roman" w:cs="Times New Roman"/>
          <w:b/>
          <w:bCs/>
        </w:rPr>
      </w:pPr>
      <w:r>
        <w:rPr>
          <w:rFonts w:ascii="Times New Roman" w:hAnsi="Times New Roman" w:cs="Times New Roman"/>
          <w:b/>
          <w:bCs/>
        </w:rPr>
        <w:t xml:space="preserve">1. Преписки. Проверки по чл. 145 ЗСВ – срочност, резултати, мерки. </w:t>
      </w:r>
    </w:p>
    <w:p w14:paraId="7F8A9061" w14:textId="77777777" w:rsidR="00660716" w:rsidRDefault="00660716" w:rsidP="00660716">
      <w:pPr>
        <w:pStyle w:val="11"/>
        <w:tabs>
          <w:tab w:val="left" w:pos="426"/>
          <w:tab w:val="left" w:pos="1415"/>
          <w:tab w:val="left" w:pos="3038"/>
        </w:tabs>
        <w:ind w:left="-567" w:right="-427" w:firstLine="567"/>
        <w:jc w:val="both"/>
        <w:rPr>
          <w:rFonts w:ascii="Times New Roman" w:hAnsi="Times New Roman" w:cs="Times New Roman"/>
        </w:rPr>
      </w:pPr>
    </w:p>
    <w:p w14:paraId="01D1D732" w14:textId="77777777" w:rsidR="00660716" w:rsidRDefault="00660716" w:rsidP="00660716">
      <w:pPr>
        <w:pStyle w:val="11"/>
        <w:tabs>
          <w:tab w:val="left" w:pos="426"/>
        </w:tabs>
        <w:ind w:left="-567" w:right="-427" w:firstLine="567"/>
        <w:jc w:val="both"/>
        <w:rPr>
          <w:rFonts w:ascii="Times New Roman" w:hAnsi="Times New Roman" w:cs="Times New Roman"/>
        </w:rPr>
      </w:pPr>
      <w:r>
        <w:rPr>
          <w:rFonts w:ascii="Times New Roman" w:hAnsi="Times New Roman" w:cs="Times New Roman"/>
        </w:rPr>
        <w:t xml:space="preserve"> През отчетната 2025 г. дейността на Окръжна прокуратура </w:t>
      </w:r>
      <w:r>
        <w:rPr>
          <w:rFonts w:ascii="Times New Roman" w:hAnsi="Times New Roman" w:cs="Times New Roman"/>
          <w:lang w:val="en-US"/>
        </w:rPr>
        <w:t>-</w:t>
      </w:r>
      <w:r>
        <w:rPr>
          <w:rFonts w:ascii="Times New Roman" w:hAnsi="Times New Roman" w:cs="Times New Roman"/>
        </w:rPr>
        <w:t xml:space="preserve"> Пазарджик и Районна прокуратура - Пазарджик по извършване на проверки с оглед наличието на данни за престъпления от общ характер е осъществявана при спазване на разпоредбите на Закона за съдебната власт, Наказателния кодекс и Наказателно-процесуалния кодекс.</w:t>
      </w:r>
    </w:p>
    <w:p w14:paraId="6A3959AD" w14:textId="77777777" w:rsidR="00660716" w:rsidRDefault="00660716" w:rsidP="00660716">
      <w:pPr>
        <w:pStyle w:val="11"/>
        <w:tabs>
          <w:tab w:val="left" w:pos="426"/>
        </w:tabs>
        <w:ind w:left="-567" w:right="-427" w:firstLine="567"/>
        <w:jc w:val="both"/>
        <w:rPr>
          <w:rFonts w:ascii="Times New Roman" w:hAnsi="Times New Roman" w:cs="Times New Roman"/>
        </w:rPr>
      </w:pPr>
      <w:r>
        <w:rPr>
          <w:rFonts w:ascii="Times New Roman" w:hAnsi="Times New Roman" w:cs="Times New Roman"/>
        </w:rPr>
        <w:t>С цел оптимизиране качеството на извършваните проверки по преписките продължи спазването и на съответните заповеди и разпореждания на административните ръководители, касаещи работата по преписките и имащи за задача повишаване на ефективността, прецизността и срочността на отработването им.</w:t>
      </w:r>
    </w:p>
    <w:p w14:paraId="35322AC0" w14:textId="77777777" w:rsidR="00660716" w:rsidRDefault="00660716" w:rsidP="00660716">
      <w:pPr>
        <w:pStyle w:val="11"/>
        <w:tabs>
          <w:tab w:val="left" w:pos="426"/>
        </w:tabs>
        <w:ind w:left="-567" w:right="-427" w:firstLine="567"/>
        <w:jc w:val="both"/>
        <w:rPr>
          <w:rFonts w:ascii="Times New Roman" w:hAnsi="Times New Roman" w:cs="Times New Roman"/>
        </w:rPr>
      </w:pPr>
      <w:bookmarkStart w:id="5" w:name="OLE_LINK15"/>
      <w:bookmarkStart w:id="6" w:name="OLE_LINK3"/>
      <w:r>
        <w:rPr>
          <w:rFonts w:ascii="Times New Roman" w:hAnsi="Times New Roman" w:cs="Times New Roman"/>
        </w:rPr>
        <w:t>През 2025 г. прокурорите от Пазарджишкия съдебен район са работили по общо 6673 преписки, при 6210 преписки за 2024 г. и 6134 преписки за 2023 г.</w:t>
      </w:r>
    </w:p>
    <w:p w14:paraId="2244657A" w14:textId="77777777" w:rsidR="005C1DBD" w:rsidRDefault="005C1DBD" w:rsidP="00660716">
      <w:pPr>
        <w:pStyle w:val="11"/>
        <w:tabs>
          <w:tab w:val="left" w:pos="426"/>
        </w:tabs>
        <w:ind w:left="142" w:right="-427" w:firstLine="567"/>
        <w:jc w:val="both"/>
        <w:rPr>
          <w:rFonts w:ascii="Times New Roman" w:hAnsi="Times New Roman" w:cs="Times New Roman"/>
          <w:lang w:val="en-US"/>
        </w:rPr>
      </w:pPr>
    </w:p>
    <w:p w14:paraId="49A8D662" w14:textId="7FC7779B" w:rsidR="00660716" w:rsidRDefault="00660716" w:rsidP="00660716">
      <w:pPr>
        <w:pStyle w:val="11"/>
        <w:tabs>
          <w:tab w:val="left" w:pos="426"/>
        </w:tabs>
        <w:ind w:left="142" w:right="-427" w:firstLine="567"/>
        <w:jc w:val="both"/>
        <w:rPr>
          <w:rFonts w:ascii="Times New Roman" w:hAnsi="Times New Roman" w:cs="Times New Roman"/>
        </w:rPr>
      </w:pPr>
      <w:r>
        <w:rPr>
          <w:rFonts w:ascii="Times New Roman" w:hAnsi="Times New Roman" w:cs="Times New Roman"/>
          <w:noProof/>
          <w:lang w:eastAsia="bg-BG"/>
        </w:rPr>
        <w:drawing>
          <wp:inline distT="0" distB="0" distL="0" distR="0" wp14:anchorId="691DD077" wp14:editId="6D9C4DAC">
            <wp:extent cx="4570993" cy="2671638"/>
            <wp:effectExtent l="0" t="0" r="1270" b="0"/>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968" cy="2678052"/>
                    </a:xfrm>
                    <a:prstGeom prst="rect">
                      <a:avLst/>
                    </a:prstGeom>
                    <a:noFill/>
                    <a:ln>
                      <a:noFill/>
                    </a:ln>
                  </pic:spPr>
                </pic:pic>
              </a:graphicData>
            </a:graphic>
          </wp:inline>
        </w:drawing>
      </w:r>
    </w:p>
    <w:p w14:paraId="6D353B3A" w14:textId="77777777" w:rsidR="00660716" w:rsidRDefault="00660716" w:rsidP="00660716">
      <w:pPr>
        <w:pStyle w:val="11"/>
        <w:tabs>
          <w:tab w:val="left" w:pos="426"/>
        </w:tabs>
        <w:ind w:left="-567" w:right="-427" w:firstLine="567"/>
        <w:jc w:val="both"/>
        <w:rPr>
          <w:rFonts w:ascii="Times New Roman" w:hAnsi="Times New Roman" w:cs="Times New Roman"/>
        </w:rPr>
      </w:pPr>
    </w:p>
    <w:p w14:paraId="2E2E00CE"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r>
        <w:rPr>
          <w:rFonts w:ascii="Times New Roman" w:hAnsi="Times New Roman" w:cs="Times New Roman"/>
        </w:rPr>
        <w:t xml:space="preserve">Спрямо 2024 г. е налице увеличение със 7,46%  </w:t>
      </w:r>
      <w:r>
        <w:rPr>
          <w:rFonts w:ascii="Times New Roman" w:hAnsi="Times New Roman" w:cs="Times New Roman"/>
          <w:lang w:val="en-US"/>
        </w:rPr>
        <w:t>(</w:t>
      </w:r>
      <w:r>
        <w:rPr>
          <w:rFonts w:ascii="Times New Roman" w:hAnsi="Times New Roman" w:cs="Times New Roman"/>
        </w:rPr>
        <w:t>463 преписки повече</w:t>
      </w:r>
      <w:r>
        <w:rPr>
          <w:rFonts w:ascii="Times New Roman" w:hAnsi="Times New Roman" w:cs="Times New Roman"/>
          <w:lang w:val="en-US"/>
        </w:rPr>
        <w:t>)</w:t>
      </w:r>
      <w:r>
        <w:rPr>
          <w:rFonts w:ascii="Times New Roman" w:hAnsi="Times New Roman" w:cs="Times New Roman"/>
        </w:rPr>
        <w:t>, а спрямо 2023 г. увеличението е с 8,79%  (539</w:t>
      </w:r>
      <w:r>
        <w:rPr>
          <w:rFonts w:ascii="Times New Roman" w:hAnsi="Times New Roman" w:cs="Times New Roman"/>
          <w:color w:val="000000" w:themeColor="text1"/>
        </w:rPr>
        <w:t xml:space="preserve"> преписки повече).</w:t>
      </w:r>
    </w:p>
    <w:p w14:paraId="35E1A57F"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bookmarkStart w:id="7" w:name="OLE_LINK16"/>
      <w:r>
        <w:rPr>
          <w:rFonts w:ascii="Times New Roman" w:hAnsi="Times New Roman" w:cs="Times New Roman"/>
          <w:color w:val="000000" w:themeColor="text1"/>
        </w:rPr>
        <w:t xml:space="preserve">Наблюдава се тенденция на увеличаване на новообразуваните преписки през 2025 г.- общо 5946, като през 2024 г. новообразуваните преписки са били 5454, а </w:t>
      </w:r>
      <w:r>
        <w:rPr>
          <w:rFonts w:ascii="Times New Roman" w:hAnsi="Times New Roman" w:cs="Times New Roman"/>
          <w:color w:val="000000" w:themeColor="text1"/>
        </w:rPr>
        <w:lastRenderedPageBreak/>
        <w:t>през 2023 г.-</w:t>
      </w:r>
      <w:bookmarkStart w:id="8" w:name="OLE_LINK105"/>
      <w:r>
        <w:rPr>
          <w:rFonts w:ascii="Times New Roman" w:hAnsi="Times New Roman" w:cs="Times New Roman"/>
          <w:color w:val="000000" w:themeColor="text1"/>
        </w:rPr>
        <w:t xml:space="preserve"> 5484.</w:t>
      </w:r>
    </w:p>
    <w:p w14:paraId="2C96B7A1"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През отчетната 2025 г. прокурорите са решили 6447 преписки или 96,61% от общо наблюдаваните преписки.</w:t>
      </w:r>
    </w:p>
    <w:p w14:paraId="2D0F61B3"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p>
    <w:p w14:paraId="4223CB12" w14:textId="77777777" w:rsidR="00660716" w:rsidRDefault="00660716" w:rsidP="00660716">
      <w:pPr>
        <w:pStyle w:val="11"/>
        <w:tabs>
          <w:tab w:val="left" w:pos="426"/>
        </w:tabs>
        <w:ind w:right="-427" w:firstLine="567"/>
        <w:jc w:val="both"/>
        <w:rPr>
          <w:rFonts w:ascii="Times New Roman" w:hAnsi="Times New Roman" w:cs="Times New Roman"/>
          <w:color w:val="000000" w:themeColor="text1"/>
        </w:rPr>
      </w:pPr>
      <w:r>
        <w:rPr>
          <w:rFonts w:ascii="Times New Roman" w:hAnsi="Times New Roman" w:cs="Times New Roman"/>
          <w:noProof/>
          <w:color w:val="000000" w:themeColor="text1"/>
          <w:lang w:eastAsia="bg-BG"/>
        </w:rPr>
        <w:drawing>
          <wp:inline distT="0" distB="0" distL="0" distR="0" wp14:anchorId="3EDC7F10" wp14:editId="6C7E4911">
            <wp:extent cx="4570910" cy="2854518"/>
            <wp:effectExtent l="0" t="0" r="1270" b="317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3708" cy="2862511"/>
                    </a:xfrm>
                    <a:prstGeom prst="rect">
                      <a:avLst/>
                    </a:prstGeom>
                    <a:noFill/>
                    <a:ln>
                      <a:noFill/>
                    </a:ln>
                  </pic:spPr>
                </pic:pic>
              </a:graphicData>
            </a:graphic>
          </wp:inline>
        </w:drawing>
      </w:r>
    </w:p>
    <w:p w14:paraId="72325078"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p>
    <w:bookmarkEnd w:id="7"/>
    <w:p w14:paraId="0F46111F"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През предходната 2024 г. процентното съотношение на решените към общо наблюдаваните преписки е било 95,6% при общо решени 5935 преписки, а през 2023 г.- 94,5% при общо решени 5799 преписки, т. е. продължава наложилата се от предходните отчетни години тенденция към запазване на едно устойчиво, високо процентно съотношение на решени преписки спрямо общо наблюдавани преписки. </w:t>
      </w:r>
      <w:bookmarkEnd w:id="8"/>
    </w:p>
    <w:p w14:paraId="0E0B79C1"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p>
    <w:bookmarkEnd w:id="5"/>
    <w:bookmarkEnd w:id="6"/>
    <w:p w14:paraId="694A8A06"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В края на отчетния период са останали нерешени общо 226 преписки, от които 221 преписки при прокурор за произнасяне/решаване.</w:t>
      </w:r>
    </w:p>
    <w:p w14:paraId="6B9DE8C3"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През предходната 2024 г. останалите нерешени преписки са били общо 275, от които 266 - при прокурор за произнасяне/решаване. През 2023 г. останалите нерешени преписки са били общо 335, от които 324 при прокурор за произнасяне/решаване.</w:t>
      </w:r>
    </w:p>
    <w:p w14:paraId="23F75FDA" w14:textId="77777777" w:rsidR="00660716" w:rsidRDefault="00660716" w:rsidP="00660716">
      <w:pPr>
        <w:pStyle w:val="11"/>
        <w:tabs>
          <w:tab w:val="left" w:pos="426"/>
        </w:tabs>
        <w:ind w:left="-567" w:right="-427" w:firstLine="567"/>
        <w:jc w:val="both"/>
        <w:rPr>
          <w:rFonts w:ascii="Times New Roman" w:hAnsi="Times New Roman" w:cs="Times New Roman"/>
          <w:color w:val="000000" w:themeColor="text1"/>
        </w:rPr>
      </w:pPr>
    </w:p>
    <w:p w14:paraId="6424EDF5" w14:textId="77777777" w:rsidR="00660716" w:rsidRDefault="00660716" w:rsidP="00660716">
      <w:pPr>
        <w:pStyle w:val="11"/>
        <w:tabs>
          <w:tab w:val="left" w:pos="426"/>
        </w:tabs>
        <w:ind w:right="-427" w:firstLine="567"/>
        <w:jc w:val="both"/>
        <w:rPr>
          <w:rFonts w:ascii="Times New Roman" w:hAnsi="Times New Roman" w:cs="Times New Roman"/>
          <w:color w:val="000000" w:themeColor="text1"/>
          <w:lang w:val="en-US"/>
        </w:rPr>
      </w:pPr>
      <w:r>
        <w:rPr>
          <w:noProof/>
          <w:lang w:eastAsia="bg-BG"/>
        </w:rPr>
        <w:drawing>
          <wp:inline distT="0" distB="0" distL="0" distR="0" wp14:anchorId="1A3143BB" wp14:editId="7598C6B8">
            <wp:extent cx="4571503" cy="2862469"/>
            <wp:effectExtent l="0" t="0" r="635"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831" cy="2870815"/>
                    </a:xfrm>
                    <a:prstGeom prst="rect">
                      <a:avLst/>
                    </a:prstGeom>
                    <a:noFill/>
                    <a:ln>
                      <a:noFill/>
                    </a:ln>
                  </pic:spPr>
                </pic:pic>
              </a:graphicData>
            </a:graphic>
          </wp:inline>
        </w:drawing>
      </w:r>
    </w:p>
    <w:p w14:paraId="547DE09C" w14:textId="77777777" w:rsidR="005C1DBD" w:rsidRPr="005C1DBD" w:rsidRDefault="005C1DBD" w:rsidP="00660716">
      <w:pPr>
        <w:pStyle w:val="11"/>
        <w:tabs>
          <w:tab w:val="left" w:pos="426"/>
        </w:tabs>
        <w:ind w:right="-427" w:firstLine="567"/>
        <w:jc w:val="both"/>
        <w:rPr>
          <w:rFonts w:ascii="Times New Roman" w:hAnsi="Times New Roman" w:cs="Times New Roman"/>
          <w:color w:val="000000" w:themeColor="text1"/>
          <w:lang w:val="en-US"/>
        </w:rPr>
      </w:pPr>
    </w:p>
    <w:p w14:paraId="77C9BFF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w:t>
      </w:r>
    </w:p>
    <w:tbl>
      <w:tblPr>
        <w:tblStyle w:val="ab"/>
        <w:tblW w:w="9748" w:type="dxa"/>
        <w:tblInd w:w="-284" w:type="dxa"/>
        <w:tblLook w:val="04A0" w:firstRow="1" w:lastRow="0" w:firstColumn="1" w:lastColumn="0" w:noHBand="0" w:noVBand="1"/>
      </w:tblPr>
      <w:tblGrid>
        <w:gridCol w:w="3086"/>
        <w:gridCol w:w="2268"/>
        <w:gridCol w:w="2268"/>
        <w:gridCol w:w="2126"/>
      </w:tblGrid>
      <w:tr w:rsidR="00660716" w14:paraId="71466345" w14:textId="77777777" w:rsidTr="00660716">
        <w:tc>
          <w:tcPr>
            <w:tcW w:w="308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D58EFE" w14:textId="77777777" w:rsidR="00660716" w:rsidRDefault="00660716">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sz w:val="28"/>
                <w:szCs w:val="28"/>
              </w:rPr>
              <w:t xml:space="preserve">   </w:t>
            </w:r>
            <w:r>
              <w:rPr>
                <w:rFonts w:ascii="Times New Roman" w:eastAsia="Cambria" w:hAnsi="Times New Roman" w:cs="Times New Roman"/>
                <w:b/>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DB654A" w14:textId="77777777" w:rsidR="00660716" w:rsidRDefault="00660716">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b/>
                <w:sz w:val="24"/>
                <w:szCs w:val="24"/>
              </w:rPr>
              <w:t>2025 г.</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99882" w14:textId="77777777" w:rsidR="00660716" w:rsidRDefault="00660716">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b/>
                <w:sz w:val="24"/>
                <w:szCs w:val="24"/>
              </w:rPr>
              <w:t>2024 г.</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EC77CA" w14:textId="77777777" w:rsidR="00660716" w:rsidRDefault="00660716">
            <w:pPr>
              <w:tabs>
                <w:tab w:val="left" w:pos="426"/>
                <w:tab w:val="left" w:pos="720"/>
              </w:tabs>
              <w:suppressAutoHyphens/>
              <w:ind w:left="-567" w:right="-427" w:firstLine="567"/>
              <w:rPr>
                <w:rFonts w:ascii="Times New Roman" w:eastAsia="Cambria" w:hAnsi="Times New Roman" w:cs="Times New Roman"/>
                <w:b/>
                <w:sz w:val="24"/>
                <w:szCs w:val="24"/>
              </w:rPr>
            </w:pPr>
            <w:r>
              <w:rPr>
                <w:rFonts w:ascii="Times New Roman" w:eastAsia="Cambria" w:hAnsi="Times New Roman" w:cs="Times New Roman"/>
                <w:b/>
                <w:sz w:val="24"/>
                <w:szCs w:val="24"/>
              </w:rPr>
              <w:t>2023 г.</w:t>
            </w:r>
          </w:p>
          <w:p w14:paraId="15BC3B94" w14:textId="77777777" w:rsidR="00660716" w:rsidRDefault="00660716">
            <w:pPr>
              <w:tabs>
                <w:tab w:val="left" w:pos="426"/>
                <w:tab w:val="left" w:pos="720"/>
              </w:tabs>
              <w:suppressAutoHyphens/>
              <w:ind w:left="-567" w:right="-427" w:firstLine="567"/>
              <w:rPr>
                <w:rFonts w:ascii="Times New Roman" w:eastAsia="Cambria" w:hAnsi="Times New Roman" w:cs="Times New Roman"/>
                <w:b/>
                <w:sz w:val="24"/>
                <w:szCs w:val="24"/>
              </w:rPr>
            </w:pPr>
          </w:p>
        </w:tc>
      </w:tr>
      <w:tr w:rsidR="00660716" w14:paraId="13AFE589" w14:textId="77777777" w:rsidTr="00660716">
        <w:tc>
          <w:tcPr>
            <w:tcW w:w="3086" w:type="dxa"/>
            <w:tcBorders>
              <w:top w:val="single" w:sz="4" w:space="0" w:color="auto"/>
              <w:left w:val="single" w:sz="4" w:space="0" w:color="auto"/>
              <w:bottom w:val="single" w:sz="4" w:space="0" w:color="auto"/>
              <w:right w:val="single" w:sz="4" w:space="0" w:color="auto"/>
            </w:tcBorders>
            <w:hideMark/>
          </w:tcPr>
          <w:p w14:paraId="345B4B59"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Наблюдавани </w:t>
            </w:r>
          </w:p>
          <w:p w14:paraId="2D6663C9"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hideMark/>
          </w:tcPr>
          <w:p w14:paraId="4C0ED050"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6673</w:t>
            </w:r>
          </w:p>
        </w:tc>
        <w:tc>
          <w:tcPr>
            <w:tcW w:w="2268" w:type="dxa"/>
            <w:tcBorders>
              <w:top w:val="single" w:sz="4" w:space="0" w:color="auto"/>
              <w:left w:val="single" w:sz="4" w:space="0" w:color="auto"/>
              <w:bottom w:val="single" w:sz="4" w:space="0" w:color="auto"/>
              <w:right w:val="single" w:sz="4" w:space="0" w:color="auto"/>
            </w:tcBorders>
            <w:hideMark/>
          </w:tcPr>
          <w:p w14:paraId="6F5A730A"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6210</w:t>
            </w:r>
          </w:p>
        </w:tc>
        <w:tc>
          <w:tcPr>
            <w:tcW w:w="2126" w:type="dxa"/>
            <w:tcBorders>
              <w:top w:val="single" w:sz="4" w:space="0" w:color="auto"/>
              <w:left w:val="single" w:sz="4" w:space="0" w:color="auto"/>
              <w:bottom w:val="single" w:sz="4" w:space="0" w:color="auto"/>
              <w:right w:val="single" w:sz="4" w:space="0" w:color="auto"/>
            </w:tcBorders>
            <w:hideMark/>
          </w:tcPr>
          <w:p w14:paraId="7BFC28A3"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6134</w:t>
            </w:r>
          </w:p>
        </w:tc>
      </w:tr>
      <w:tr w:rsidR="00660716" w14:paraId="2F3711EF" w14:textId="77777777" w:rsidTr="00660716">
        <w:tc>
          <w:tcPr>
            <w:tcW w:w="3086" w:type="dxa"/>
            <w:tcBorders>
              <w:top w:val="single" w:sz="4" w:space="0" w:color="auto"/>
              <w:left w:val="single" w:sz="4" w:space="0" w:color="auto"/>
              <w:bottom w:val="single" w:sz="4" w:space="0" w:color="auto"/>
              <w:right w:val="single" w:sz="4" w:space="0" w:color="auto"/>
            </w:tcBorders>
            <w:hideMark/>
          </w:tcPr>
          <w:p w14:paraId="5E057709"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Новообразувани</w:t>
            </w:r>
          </w:p>
          <w:p w14:paraId="12B46BF0"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hideMark/>
          </w:tcPr>
          <w:p w14:paraId="2E9D9D98"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5946</w:t>
            </w:r>
          </w:p>
        </w:tc>
        <w:tc>
          <w:tcPr>
            <w:tcW w:w="2268" w:type="dxa"/>
            <w:tcBorders>
              <w:top w:val="single" w:sz="4" w:space="0" w:color="auto"/>
              <w:left w:val="single" w:sz="4" w:space="0" w:color="auto"/>
              <w:bottom w:val="single" w:sz="4" w:space="0" w:color="auto"/>
              <w:right w:val="single" w:sz="4" w:space="0" w:color="auto"/>
            </w:tcBorders>
            <w:hideMark/>
          </w:tcPr>
          <w:p w14:paraId="6FB3AE07"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5454</w:t>
            </w:r>
          </w:p>
        </w:tc>
        <w:tc>
          <w:tcPr>
            <w:tcW w:w="2126" w:type="dxa"/>
            <w:tcBorders>
              <w:top w:val="single" w:sz="4" w:space="0" w:color="auto"/>
              <w:left w:val="single" w:sz="4" w:space="0" w:color="auto"/>
              <w:bottom w:val="single" w:sz="4" w:space="0" w:color="auto"/>
              <w:right w:val="single" w:sz="4" w:space="0" w:color="auto"/>
            </w:tcBorders>
            <w:hideMark/>
          </w:tcPr>
          <w:p w14:paraId="5B282C44"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5484</w:t>
            </w:r>
          </w:p>
        </w:tc>
      </w:tr>
      <w:tr w:rsidR="00660716" w14:paraId="3F590380" w14:textId="77777777" w:rsidTr="00660716">
        <w:tc>
          <w:tcPr>
            <w:tcW w:w="3086" w:type="dxa"/>
            <w:tcBorders>
              <w:top w:val="single" w:sz="4" w:space="0" w:color="auto"/>
              <w:left w:val="single" w:sz="4" w:space="0" w:color="auto"/>
              <w:bottom w:val="single" w:sz="4" w:space="0" w:color="auto"/>
              <w:right w:val="single" w:sz="4" w:space="0" w:color="auto"/>
            </w:tcBorders>
          </w:tcPr>
          <w:p w14:paraId="6EB7C082"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Решени преписки</w:t>
            </w:r>
          </w:p>
          <w:p w14:paraId="1A612E65"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14:paraId="1D3D9336"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6447</w:t>
            </w:r>
          </w:p>
        </w:tc>
        <w:tc>
          <w:tcPr>
            <w:tcW w:w="2268" w:type="dxa"/>
            <w:tcBorders>
              <w:top w:val="single" w:sz="4" w:space="0" w:color="auto"/>
              <w:left w:val="single" w:sz="4" w:space="0" w:color="auto"/>
              <w:bottom w:val="single" w:sz="4" w:space="0" w:color="auto"/>
              <w:right w:val="single" w:sz="4" w:space="0" w:color="auto"/>
            </w:tcBorders>
            <w:hideMark/>
          </w:tcPr>
          <w:p w14:paraId="5E455323"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5935</w:t>
            </w:r>
          </w:p>
        </w:tc>
        <w:tc>
          <w:tcPr>
            <w:tcW w:w="2126" w:type="dxa"/>
            <w:tcBorders>
              <w:top w:val="single" w:sz="4" w:space="0" w:color="auto"/>
              <w:left w:val="single" w:sz="4" w:space="0" w:color="auto"/>
              <w:bottom w:val="single" w:sz="4" w:space="0" w:color="auto"/>
              <w:right w:val="single" w:sz="4" w:space="0" w:color="auto"/>
            </w:tcBorders>
            <w:hideMark/>
          </w:tcPr>
          <w:p w14:paraId="24933B5C"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5799</w:t>
            </w:r>
          </w:p>
        </w:tc>
      </w:tr>
      <w:tr w:rsidR="00660716" w14:paraId="6433625C" w14:textId="77777777" w:rsidTr="00660716">
        <w:tc>
          <w:tcPr>
            <w:tcW w:w="3086" w:type="dxa"/>
            <w:tcBorders>
              <w:top w:val="single" w:sz="4" w:space="0" w:color="auto"/>
              <w:left w:val="single" w:sz="4" w:space="0" w:color="auto"/>
              <w:bottom w:val="single" w:sz="4" w:space="0" w:color="auto"/>
              <w:right w:val="single" w:sz="4" w:space="0" w:color="auto"/>
            </w:tcBorders>
            <w:hideMark/>
          </w:tcPr>
          <w:p w14:paraId="54E81F7D"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Решени преписки</w:t>
            </w:r>
          </w:p>
          <w:p w14:paraId="680CDE04"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в срок до 1 месец</w:t>
            </w:r>
          </w:p>
        </w:tc>
        <w:tc>
          <w:tcPr>
            <w:tcW w:w="2268" w:type="dxa"/>
            <w:tcBorders>
              <w:top w:val="single" w:sz="4" w:space="0" w:color="auto"/>
              <w:left w:val="single" w:sz="4" w:space="0" w:color="auto"/>
              <w:bottom w:val="single" w:sz="4" w:space="0" w:color="auto"/>
              <w:right w:val="single" w:sz="4" w:space="0" w:color="auto"/>
            </w:tcBorders>
            <w:hideMark/>
          </w:tcPr>
          <w:p w14:paraId="50AE36F7"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6443</w:t>
            </w:r>
          </w:p>
        </w:tc>
        <w:tc>
          <w:tcPr>
            <w:tcW w:w="2268" w:type="dxa"/>
            <w:tcBorders>
              <w:top w:val="single" w:sz="4" w:space="0" w:color="auto"/>
              <w:left w:val="single" w:sz="4" w:space="0" w:color="auto"/>
              <w:bottom w:val="single" w:sz="4" w:space="0" w:color="auto"/>
              <w:right w:val="single" w:sz="4" w:space="0" w:color="auto"/>
            </w:tcBorders>
            <w:hideMark/>
          </w:tcPr>
          <w:p w14:paraId="467F70B4"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5932</w:t>
            </w:r>
          </w:p>
        </w:tc>
        <w:tc>
          <w:tcPr>
            <w:tcW w:w="2126" w:type="dxa"/>
            <w:tcBorders>
              <w:top w:val="single" w:sz="4" w:space="0" w:color="auto"/>
              <w:left w:val="single" w:sz="4" w:space="0" w:color="auto"/>
              <w:bottom w:val="single" w:sz="4" w:space="0" w:color="auto"/>
              <w:right w:val="single" w:sz="4" w:space="0" w:color="auto"/>
            </w:tcBorders>
            <w:hideMark/>
          </w:tcPr>
          <w:p w14:paraId="22139477"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5795</w:t>
            </w:r>
          </w:p>
        </w:tc>
      </w:tr>
      <w:tr w:rsidR="00660716" w14:paraId="2B9E82A3" w14:textId="77777777" w:rsidTr="00660716">
        <w:tc>
          <w:tcPr>
            <w:tcW w:w="3086" w:type="dxa"/>
            <w:tcBorders>
              <w:top w:val="single" w:sz="4" w:space="0" w:color="auto"/>
              <w:left w:val="single" w:sz="4" w:space="0" w:color="auto"/>
              <w:bottom w:val="single" w:sz="4" w:space="0" w:color="auto"/>
              <w:right w:val="single" w:sz="4" w:space="0" w:color="auto"/>
            </w:tcBorders>
            <w:hideMark/>
          </w:tcPr>
          <w:p w14:paraId="2251480D"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Решени инстанционни </w:t>
            </w:r>
          </w:p>
          <w:p w14:paraId="2345F264"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преписки</w:t>
            </w:r>
          </w:p>
        </w:tc>
        <w:tc>
          <w:tcPr>
            <w:tcW w:w="2268" w:type="dxa"/>
            <w:tcBorders>
              <w:top w:val="single" w:sz="4" w:space="0" w:color="auto"/>
              <w:left w:val="single" w:sz="4" w:space="0" w:color="auto"/>
              <w:bottom w:val="single" w:sz="4" w:space="0" w:color="auto"/>
              <w:right w:val="single" w:sz="4" w:space="0" w:color="auto"/>
            </w:tcBorders>
            <w:hideMark/>
          </w:tcPr>
          <w:p w14:paraId="4D70ADBC"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271</w:t>
            </w:r>
          </w:p>
        </w:tc>
        <w:tc>
          <w:tcPr>
            <w:tcW w:w="2268" w:type="dxa"/>
            <w:tcBorders>
              <w:top w:val="single" w:sz="4" w:space="0" w:color="auto"/>
              <w:left w:val="single" w:sz="4" w:space="0" w:color="auto"/>
              <w:bottom w:val="single" w:sz="4" w:space="0" w:color="auto"/>
              <w:right w:val="single" w:sz="4" w:space="0" w:color="auto"/>
            </w:tcBorders>
            <w:hideMark/>
          </w:tcPr>
          <w:p w14:paraId="76C5E31B"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414</w:t>
            </w:r>
          </w:p>
        </w:tc>
        <w:tc>
          <w:tcPr>
            <w:tcW w:w="2126" w:type="dxa"/>
            <w:tcBorders>
              <w:top w:val="single" w:sz="4" w:space="0" w:color="auto"/>
              <w:left w:val="single" w:sz="4" w:space="0" w:color="auto"/>
              <w:bottom w:val="single" w:sz="4" w:space="0" w:color="auto"/>
              <w:right w:val="single" w:sz="4" w:space="0" w:color="auto"/>
            </w:tcBorders>
            <w:hideMark/>
          </w:tcPr>
          <w:p w14:paraId="20A66C89"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201</w:t>
            </w:r>
          </w:p>
        </w:tc>
      </w:tr>
      <w:tr w:rsidR="00660716" w14:paraId="6E894513" w14:textId="77777777" w:rsidTr="00660716">
        <w:tc>
          <w:tcPr>
            <w:tcW w:w="3086" w:type="dxa"/>
            <w:tcBorders>
              <w:top w:val="single" w:sz="4" w:space="0" w:color="auto"/>
              <w:left w:val="single" w:sz="4" w:space="0" w:color="auto"/>
              <w:bottom w:val="single" w:sz="4" w:space="0" w:color="auto"/>
              <w:right w:val="single" w:sz="4" w:space="0" w:color="auto"/>
            </w:tcBorders>
            <w:hideMark/>
          </w:tcPr>
          <w:p w14:paraId="7B0669E6"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Нерешени преписки </w:t>
            </w:r>
          </w:p>
          <w:p w14:paraId="40198FB8"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в края на отчетния период</w:t>
            </w:r>
          </w:p>
        </w:tc>
        <w:tc>
          <w:tcPr>
            <w:tcW w:w="2268" w:type="dxa"/>
            <w:tcBorders>
              <w:top w:val="single" w:sz="4" w:space="0" w:color="auto"/>
              <w:left w:val="single" w:sz="4" w:space="0" w:color="auto"/>
              <w:bottom w:val="single" w:sz="4" w:space="0" w:color="auto"/>
              <w:right w:val="single" w:sz="4" w:space="0" w:color="auto"/>
            </w:tcBorders>
            <w:hideMark/>
          </w:tcPr>
          <w:p w14:paraId="2FAB66BA"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226</w:t>
            </w:r>
          </w:p>
        </w:tc>
        <w:tc>
          <w:tcPr>
            <w:tcW w:w="2268" w:type="dxa"/>
            <w:tcBorders>
              <w:top w:val="single" w:sz="4" w:space="0" w:color="auto"/>
              <w:left w:val="single" w:sz="4" w:space="0" w:color="auto"/>
              <w:bottom w:val="single" w:sz="4" w:space="0" w:color="auto"/>
              <w:right w:val="single" w:sz="4" w:space="0" w:color="auto"/>
            </w:tcBorders>
            <w:hideMark/>
          </w:tcPr>
          <w:p w14:paraId="5D90C217"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275</w:t>
            </w:r>
          </w:p>
        </w:tc>
        <w:tc>
          <w:tcPr>
            <w:tcW w:w="2126" w:type="dxa"/>
            <w:tcBorders>
              <w:top w:val="single" w:sz="4" w:space="0" w:color="auto"/>
              <w:left w:val="single" w:sz="4" w:space="0" w:color="auto"/>
              <w:bottom w:val="single" w:sz="4" w:space="0" w:color="auto"/>
              <w:right w:val="single" w:sz="4" w:space="0" w:color="auto"/>
            </w:tcBorders>
            <w:hideMark/>
          </w:tcPr>
          <w:p w14:paraId="1572C200"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335</w:t>
            </w:r>
          </w:p>
        </w:tc>
      </w:tr>
      <w:tr w:rsidR="00660716" w14:paraId="3DB9C10E" w14:textId="77777777" w:rsidTr="00660716">
        <w:tc>
          <w:tcPr>
            <w:tcW w:w="3086" w:type="dxa"/>
            <w:tcBorders>
              <w:top w:val="single" w:sz="4" w:space="0" w:color="auto"/>
              <w:left w:val="single" w:sz="4" w:space="0" w:color="auto"/>
              <w:bottom w:val="single" w:sz="4" w:space="0" w:color="auto"/>
              <w:right w:val="single" w:sz="4" w:space="0" w:color="auto"/>
            </w:tcBorders>
            <w:hideMark/>
          </w:tcPr>
          <w:p w14:paraId="232BEA42"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 xml:space="preserve">Нерешени преписки </w:t>
            </w:r>
          </w:p>
          <w:p w14:paraId="66C69F4B"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в срок до 1 месец</w:t>
            </w:r>
          </w:p>
        </w:tc>
        <w:tc>
          <w:tcPr>
            <w:tcW w:w="2268" w:type="dxa"/>
            <w:tcBorders>
              <w:top w:val="single" w:sz="4" w:space="0" w:color="auto"/>
              <w:left w:val="single" w:sz="4" w:space="0" w:color="auto"/>
              <w:bottom w:val="single" w:sz="4" w:space="0" w:color="auto"/>
              <w:right w:val="single" w:sz="4" w:space="0" w:color="auto"/>
            </w:tcBorders>
            <w:hideMark/>
          </w:tcPr>
          <w:p w14:paraId="6CD9FEB9"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221</w:t>
            </w:r>
          </w:p>
        </w:tc>
        <w:tc>
          <w:tcPr>
            <w:tcW w:w="2268" w:type="dxa"/>
            <w:tcBorders>
              <w:top w:val="single" w:sz="4" w:space="0" w:color="auto"/>
              <w:left w:val="single" w:sz="4" w:space="0" w:color="auto"/>
              <w:bottom w:val="single" w:sz="4" w:space="0" w:color="auto"/>
              <w:right w:val="single" w:sz="4" w:space="0" w:color="auto"/>
            </w:tcBorders>
            <w:hideMark/>
          </w:tcPr>
          <w:p w14:paraId="020DF06E"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266</w:t>
            </w:r>
          </w:p>
        </w:tc>
        <w:tc>
          <w:tcPr>
            <w:tcW w:w="2126" w:type="dxa"/>
            <w:tcBorders>
              <w:top w:val="single" w:sz="4" w:space="0" w:color="auto"/>
              <w:left w:val="single" w:sz="4" w:space="0" w:color="auto"/>
              <w:bottom w:val="single" w:sz="4" w:space="0" w:color="auto"/>
              <w:right w:val="single" w:sz="4" w:space="0" w:color="auto"/>
            </w:tcBorders>
            <w:hideMark/>
          </w:tcPr>
          <w:p w14:paraId="6BCD4AC1" w14:textId="77777777" w:rsidR="00660716" w:rsidRDefault="00660716">
            <w:pPr>
              <w:tabs>
                <w:tab w:val="left" w:pos="426"/>
                <w:tab w:val="left" w:pos="720"/>
              </w:tabs>
              <w:suppressAutoHyphens/>
              <w:ind w:left="-567" w:right="-427" w:firstLine="567"/>
              <w:rPr>
                <w:rFonts w:ascii="Times New Roman" w:eastAsia="Cambria" w:hAnsi="Times New Roman" w:cs="Times New Roman"/>
                <w:sz w:val="24"/>
                <w:szCs w:val="24"/>
              </w:rPr>
            </w:pPr>
            <w:r>
              <w:rPr>
                <w:rFonts w:ascii="Times New Roman" w:eastAsia="Cambria" w:hAnsi="Times New Roman" w:cs="Times New Roman"/>
                <w:sz w:val="24"/>
                <w:szCs w:val="24"/>
              </w:rPr>
              <w:t>324</w:t>
            </w:r>
          </w:p>
        </w:tc>
      </w:tr>
    </w:tbl>
    <w:p w14:paraId="1A30191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eastAsia="en-US"/>
        </w:rPr>
      </w:pPr>
    </w:p>
    <w:p w14:paraId="3EF4BB63" w14:textId="77777777" w:rsidR="005C1DBD" w:rsidRDefault="005C1DBD"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eastAsia="en-US"/>
        </w:rPr>
      </w:pPr>
    </w:p>
    <w:p w14:paraId="31BA92E3" w14:textId="77777777" w:rsidR="005C1DBD" w:rsidRPr="005C1DBD" w:rsidRDefault="005C1DBD"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eastAsia="en-US"/>
        </w:rPr>
      </w:pPr>
    </w:p>
    <w:p w14:paraId="423E78FE"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Срочността на произнасяне по решените 6447 преписки през 2025 г. е както следва:</w:t>
      </w:r>
    </w:p>
    <w:p w14:paraId="71B47D9D" w14:textId="77777777" w:rsidR="00660716" w:rsidRDefault="00660716" w:rsidP="00660716">
      <w:pPr>
        <w:numPr>
          <w:ilvl w:val="0"/>
          <w:numId w:val="46"/>
        </w:numPr>
        <w:tabs>
          <w:tab w:val="left" w:pos="426"/>
          <w:tab w:val="left" w:pos="720"/>
        </w:tabs>
        <w:suppressAutoHyphens/>
        <w:spacing w:after="0" w:line="240" w:lineRule="auto"/>
        <w:ind w:right="-42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До 1 месец – 6443 преписки или 99,9 % от решените.</w:t>
      </w:r>
    </w:p>
    <w:p w14:paraId="3443EBF8" w14:textId="77777777" w:rsidR="00660716" w:rsidRDefault="00660716" w:rsidP="00660716">
      <w:pPr>
        <w:numPr>
          <w:ilvl w:val="0"/>
          <w:numId w:val="46"/>
        </w:numPr>
        <w:tabs>
          <w:tab w:val="left" w:pos="426"/>
          <w:tab w:val="left" w:pos="720"/>
        </w:tabs>
        <w:suppressAutoHyphens/>
        <w:spacing w:after="0" w:line="240" w:lineRule="auto"/>
        <w:ind w:right="-42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Над  1 месец – 4 преписки, или 0,1% от решените.</w:t>
      </w:r>
    </w:p>
    <w:p w14:paraId="2CC04D5B"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През 2024 г. 3 преписки са били решени в срок над 1 месец, а през 2023 г. решените преписки в срок над 1 месец са били 4. </w:t>
      </w:r>
    </w:p>
    <w:p w14:paraId="686461BD"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w:t>
      </w:r>
    </w:p>
    <w:p w14:paraId="6E068D03" w14:textId="77777777" w:rsidR="00660716" w:rsidRDefault="00660716" w:rsidP="00660716">
      <w:pPr>
        <w:tabs>
          <w:tab w:val="left" w:pos="426"/>
          <w:tab w:val="left" w:pos="720"/>
        </w:tabs>
        <w:suppressAutoHyphens/>
        <w:spacing w:after="0" w:line="240" w:lineRule="auto"/>
        <w:ind w:right="-427" w:firstLine="567"/>
        <w:jc w:val="both"/>
        <w:rPr>
          <w:rFonts w:ascii="Times New Roman" w:eastAsia="Cambria" w:hAnsi="Times New Roman" w:cs="Times New Roman"/>
          <w:sz w:val="28"/>
          <w:szCs w:val="28"/>
        </w:rPr>
      </w:pPr>
      <w:r>
        <w:rPr>
          <w:rFonts w:ascii="Times New Roman" w:eastAsia="Cambria" w:hAnsi="Times New Roman" w:cs="Times New Roman"/>
          <w:noProof/>
          <w:sz w:val="28"/>
          <w:szCs w:val="28"/>
        </w:rPr>
        <w:drawing>
          <wp:inline distT="0" distB="0" distL="0" distR="0" wp14:anchorId="6FA507C6" wp14:editId="29281AD0">
            <wp:extent cx="4572000" cy="3159760"/>
            <wp:effectExtent l="0" t="0" r="0" b="254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159760"/>
                    </a:xfrm>
                    <a:prstGeom prst="rect">
                      <a:avLst/>
                    </a:prstGeom>
                    <a:noFill/>
                    <a:ln>
                      <a:noFill/>
                    </a:ln>
                  </pic:spPr>
                </pic:pic>
              </a:graphicData>
            </a:graphic>
          </wp:inline>
        </w:drawing>
      </w:r>
    </w:p>
    <w:p w14:paraId="0C5CA7E0"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14:paraId="59A0F28C"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p w14:paraId="0E85CB3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Видове решения по преписките.</w:t>
      </w:r>
    </w:p>
    <w:p w14:paraId="3DD1B51A"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sz w:val="28"/>
          <w:szCs w:val="28"/>
        </w:rPr>
        <w:t xml:space="preserve">От общо решените през отчетния период 6447 преписки, 3817 от тях са решени с отказ за образуване на досъдебно производство, при 3160 преписки за </w:t>
      </w:r>
      <w:r>
        <w:rPr>
          <w:rFonts w:ascii="Times New Roman" w:eastAsia="Cambria" w:hAnsi="Times New Roman" w:cs="Times New Roman"/>
          <w:sz w:val="28"/>
          <w:szCs w:val="28"/>
        </w:rPr>
        <w:lastRenderedPageBreak/>
        <w:t>2024 г. и 3145 преписки за 2023 г. Постановените откази за образуване на досъдебно производство съставляват 59,2% от общо решените приз 2025 г. преписки. През предходната 2024 г. постановените откази за образуване на досъдебно производство са съставлявали 53,2% от общо решените 5935 преписки, а през 2023 г.- 54,3% от общо решените 5799 преписки.</w:t>
      </w:r>
      <w:r>
        <w:rPr>
          <w:rFonts w:ascii="Times New Roman" w:eastAsia="Cambria" w:hAnsi="Times New Roman" w:cs="Times New Roman"/>
          <w:b/>
          <w:sz w:val="28"/>
          <w:szCs w:val="28"/>
        </w:rPr>
        <w:t xml:space="preserve"> </w:t>
      </w:r>
    </w:p>
    <w:p w14:paraId="311D822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Горните данни налагат извод, че сравнително се е запазило процентното съотношение между общо решените преписки и тези, по които е бил постановен отказ за образуване на досъдебно производство. Следва да се има предвид, че това е израз на правомощието, единствено Прокуратурата да прецени с краен акт наличието или липсата на данни за образуване на наказателно производство.</w:t>
      </w:r>
    </w:p>
    <w:p w14:paraId="54171EF5"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отчетния период от общо решените преписки, по 1269 са били образувани досъдебни производства, при 1218 за 2024 г. и  1198 за 2023 г. Относителният им дял спрямо общо решените преписки е 19,7%, като през 2024 г. делът им е бил 20,5%, а през 2023 г.- 20,7%, </w:t>
      </w:r>
      <w:bookmarkStart w:id="9" w:name="OLE_LINK106"/>
      <w:r>
        <w:rPr>
          <w:rFonts w:ascii="Times New Roman" w:eastAsia="Cambria" w:hAnsi="Times New Roman" w:cs="Times New Roman"/>
          <w:sz w:val="28"/>
          <w:szCs w:val="28"/>
        </w:rPr>
        <w:t>т. е. продължава наложената и през предходните отчетни години тенденция на леко намаляване на процентното съотношение на преписките, решени с постановление за образуване на наказателно производство съпоставено към общо решените преписки.</w:t>
      </w:r>
    </w:p>
    <w:bookmarkEnd w:id="9"/>
    <w:p w14:paraId="160B827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p w14:paraId="52989A18"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roofErr w:type="spellStart"/>
      <w:r>
        <w:rPr>
          <w:rFonts w:ascii="Times New Roman" w:eastAsia="Cambria" w:hAnsi="Times New Roman" w:cs="Times New Roman"/>
          <w:b/>
          <w:sz w:val="28"/>
          <w:szCs w:val="28"/>
        </w:rPr>
        <w:t>Инстанционен</w:t>
      </w:r>
      <w:proofErr w:type="spellEnd"/>
      <w:r>
        <w:rPr>
          <w:rFonts w:ascii="Times New Roman" w:eastAsia="Cambria" w:hAnsi="Times New Roman" w:cs="Times New Roman"/>
          <w:b/>
          <w:sz w:val="28"/>
          <w:szCs w:val="28"/>
        </w:rPr>
        <w:t xml:space="preserve"> контрол.</w:t>
      </w:r>
    </w:p>
    <w:p w14:paraId="435C7185"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lang w:val="en-US"/>
        </w:rPr>
      </w:pPr>
    </w:p>
    <w:p w14:paraId="4C7BDD3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отчетната 2025 г. прокурорите от Окръжна прокуратура - Пазарджик са решили общо 271 инстанционни преписки, като са постановили по тях 318 прокурорски акта. Броят на потвърдените актове е 262, а отменените актове са 56.</w:t>
      </w:r>
    </w:p>
    <w:p w14:paraId="46E3A33C"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sz w:val="28"/>
          <w:szCs w:val="28"/>
        </w:rPr>
        <w:t>Отменените постановления за отказ да се образува досъдебно производство са 32, а потвърдените постановления за отказ са 111.</w:t>
      </w:r>
    </w:p>
    <w:p w14:paraId="25FA1D7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Cambria" w:hAnsi="Times New Roman" w:cs="Times New Roman"/>
          <w:sz w:val="28"/>
          <w:szCs w:val="28"/>
        </w:rPr>
        <w:t xml:space="preserve">През 2024 г. общият брой на решените инстанционни преписки е бил 414, като по същите са били постановени 449 прокурорски акта. Броят на потвърдените актове е бил 384, а отменените актове са били 65. </w:t>
      </w:r>
      <w:r>
        <w:rPr>
          <w:rFonts w:ascii="Times New Roman" w:eastAsia="Times New Roman" w:hAnsi="Times New Roman" w:cs="Times New Roman"/>
          <w:sz w:val="28"/>
          <w:szCs w:val="28"/>
          <w:lang w:bidi="bg-BG"/>
        </w:rPr>
        <w:t>Броят на отменените постановления за отказ да се образува досъдебно производство е бил 28, а потвърдените постановления за отказ са били 110.</w:t>
      </w:r>
    </w:p>
    <w:p w14:paraId="07497B4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2023 г. общият брой на решените инстанционни преписки е бил 201, като по същите са били постановени общо 222 прокурорски акта. Броят на потвърдените актове е бил 156, а отменените актове са били 66. Броят на отменените постановления за отказ е бил 31, а потвърдените постановления за отказ са били 87.</w:t>
      </w:r>
    </w:p>
    <w:p w14:paraId="290B4835"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bookmarkStart w:id="10" w:name="OLE_LINK103"/>
      <w:r>
        <w:rPr>
          <w:rFonts w:ascii="Times New Roman" w:eastAsia="Times New Roman" w:hAnsi="Times New Roman" w:cs="Times New Roman"/>
          <w:sz w:val="28"/>
          <w:szCs w:val="28"/>
          <w:lang w:bidi="bg-BG"/>
        </w:rPr>
        <w:t>Горните данни налагат извод, че през настоящата отчетна година значително е намален броят на решените инстанционни преписки в сравнение с решените такива през 2024 г., съответно същият е увеличен в сравнение с 2023 г.</w:t>
      </w:r>
    </w:p>
    <w:bookmarkEnd w:id="10"/>
    <w:p w14:paraId="30DDE4EF"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Относителният дял на отменените постановления за отказ спрямо общия брой решени инстанционни преписки през отчетната година е 11,8%, като през 2024 г. този дял е бил 6,76%, а през 2023 г.- 15,4%. </w:t>
      </w:r>
    </w:p>
    <w:p w14:paraId="4BA469D5"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pacing w:val="-4"/>
          <w:sz w:val="28"/>
          <w:szCs w:val="28"/>
        </w:rPr>
      </w:pPr>
      <w:r>
        <w:rPr>
          <w:rFonts w:ascii="Times New Roman" w:eastAsia="Times New Roman" w:hAnsi="Times New Roman" w:cs="Times New Roman"/>
          <w:sz w:val="28"/>
          <w:szCs w:val="28"/>
          <w:lang w:bidi="bg-BG"/>
        </w:rPr>
        <w:t xml:space="preserve">Относителният дял на потвърдените постановления за отказ спрямо общия брой решени инстанционни преписки през 2025 г. е 41%,  като през 2024 г. този дял е бил 26,6%, а през 2023 г.- 43,3%. </w:t>
      </w:r>
    </w:p>
    <w:p w14:paraId="7D7CF56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color w:val="000000" w:themeColor="text1"/>
          <w:spacing w:val="-4"/>
          <w:sz w:val="28"/>
          <w:szCs w:val="28"/>
        </w:rPr>
      </w:pPr>
      <w:r>
        <w:rPr>
          <w:rFonts w:ascii="Times New Roman" w:eastAsia="Times New Roman" w:hAnsi="Times New Roman" w:cs="Times New Roman"/>
          <w:color w:val="000000" w:themeColor="text1"/>
          <w:spacing w:val="-4"/>
          <w:sz w:val="28"/>
          <w:szCs w:val="28"/>
        </w:rPr>
        <w:t xml:space="preserve">Броят на обжалваните по реда на чл. 213, ал. 4 от НПК постановления за отказ  от образуване на ДП през 2025 г. е 20, като потвърдени от съда са общо 8 откази, а </w:t>
      </w:r>
      <w:r>
        <w:rPr>
          <w:rFonts w:ascii="Times New Roman" w:eastAsia="Times New Roman" w:hAnsi="Times New Roman" w:cs="Times New Roman"/>
          <w:color w:val="000000" w:themeColor="text1"/>
          <w:spacing w:val="-4"/>
          <w:sz w:val="28"/>
          <w:szCs w:val="28"/>
        </w:rPr>
        <w:lastRenderedPageBreak/>
        <w:t>отменени са 4. В края на отчетната година неразгледани от съда са останали 8 обжалвани постановления за отказ от образуване на ДП.</w:t>
      </w:r>
    </w:p>
    <w:p w14:paraId="3DDE84BF"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000000" w:themeColor="text1"/>
          <w:spacing w:val="-4"/>
          <w:sz w:val="28"/>
          <w:szCs w:val="28"/>
        </w:rPr>
      </w:pPr>
      <w:r>
        <w:rPr>
          <w:rFonts w:ascii="Times New Roman" w:eastAsia="Times New Roman" w:hAnsi="Times New Roman" w:cs="Times New Roman"/>
          <w:color w:val="000000" w:themeColor="text1"/>
          <w:spacing w:val="-4"/>
          <w:sz w:val="28"/>
          <w:szCs w:val="28"/>
        </w:rPr>
        <w:t xml:space="preserve">През отчетната година няма обжалвани от КПК  откази от образуване на ДП по реда на чл. 213б НПК.  </w:t>
      </w:r>
    </w:p>
    <w:p w14:paraId="1C976CA1" w14:textId="77777777" w:rsidR="00660716" w:rsidRDefault="00660716" w:rsidP="00653961">
      <w:pPr>
        <w:tabs>
          <w:tab w:val="left" w:pos="426"/>
        </w:tabs>
        <w:spacing w:after="0" w:line="240" w:lineRule="auto"/>
        <w:ind w:right="-427" w:firstLine="567"/>
        <w:jc w:val="both"/>
        <w:rPr>
          <w:rFonts w:ascii="Times New Roman" w:eastAsia="Times New Roman" w:hAnsi="Times New Roman" w:cs="Times New Roman"/>
          <w:b/>
          <w:color w:val="000000"/>
          <w:spacing w:val="-4"/>
          <w:sz w:val="28"/>
          <w:szCs w:val="28"/>
        </w:rPr>
      </w:pPr>
    </w:p>
    <w:p w14:paraId="782F1CC6"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color w:val="000000" w:themeColor="text1"/>
          <w:spacing w:val="-4"/>
          <w:sz w:val="28"/>
          <w:szCs w:val="28"/>
        </w:rPr>
      </w:pPr>
      <w:r>
        <w:rPr>
          <w:rFonts w:ascii="Times New Roman" w:eastAsia="Times New Roman" w:hAnsi="Times New Roman" w:cs="Times New Roman"/>
          <w:b/>
          <w:color w:val="000000" w:themeColor="text1"/>
          <w:spacing w:val="-4"/>
          <w:sz w:val="28"/>
          <w:szCs w:val="28"/>
        </w:rPr>
        <w:t>1.2. Преписки и наказателни производства, образувани след самосезиране и по сигнали на държавни органи.</w:t>
      </w:r>
    </w:p>
    <w:p w14:paraId="426FD24A"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color w:val="000000" w:themeColor="text1"/>
          <w:spacing w:val="-4"/>
          <w:sz w:val="28"/>
          <w:szCs w:val="28"/>
        </w:rPr>
      </w:pPr>
    </w:p>
    <w:p w14:paraId="56E32C2F"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color w:val="000000" w:themeColor="text1"/>
          <w:spacing w:val="-4"/>
          <w:sz w:val="28"/>
          <w:szCs w:val="28"/>
        </w:rPr>
      </w:pPr>
      <w:r>
        <w:rPr>
          <w:rFonts w:ascii="Times New Roman" w:eastAsia="Times New Roman" w:hAnsi="Times New Roman" w:cs="Times New Roman"/>
          <w:spacing w:val="-4"/>
          <w:sz w:val="28"/>
          <w:szCs w:val="28"/>
          <w:u w:val="single"/>
        </w:rPr>
        <w:t>След самосезиране</w:t>
      </w:r>
      <w:r>
        <w:rPr>
          <w:rFonts w:ascii="Times New Roman" w:eastAsia="Times New Roman" w:hAnsi="Times New Roman" w:cs="Times New Roman"/>
          <w:spacing w:val="-4"/>
          <w:sz w:val="28"/>
          <w:szCs w:val="28"/>
        </w:rPr>
        <w:t xml:space="preserve"> през отчетната 2025 г. прокурорите от района на Окръжна прокуратура Пазарджик са наблюдавали общо 6 броя  преписки.</w:t>
      </w:r>
    </w:p>
    <w:p w14:paraId="6422F5F7"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color w:val="000000" w:themeColor="text1"/>
          <w:spacing w:val="-4"/>
          <w:sz w:val="28"/>
          <w:szCs w:val="28"/>
        </w:rPr>
      </w:pPr>
      <w:bookmarkStart w:id="11" w:name="OLE_LINK10"/>
      <w:r>
        <w:rPr>
          <w:rFonts w:ascii="Times New Roman" w:eastAsia="Times New Roman" w:hAnsi="Times New Roman" w:cs="Times New Roman"/>
          <w:spacing w:val="-4"/>
          <w:sz w:val="28"/>
          <w:szCs w:val="28"/>
          <w:u w:val="single"/>
        </w:rPr>
        <w:t>След самосезиране</w:t>
      </w:r>
      <w:r>
        <w:rPr>
          <w:rFonts w:ascii="Times New Roman" w:eastAsia="Times New Roman" w:hAnsi="Times New Roman" w:cs="Times New Roman"/>
          <w:spacing w:val="-4"/>
          <w:sz w:val="28"/>
          <w:szCs w:val="28"/>
        </w:rPr>
        <w:t xml:space="preserve"> през предходната 202</w:t>
      </w:r>
      <w:r>
        <w:rPr>
          <w:rFonts w:ascii="Times New Roman" w:eastAsia="Times New Roman" w:hAnsi="Times New Roman" w:cs="Times New Roman"/>
          <w:spacing w:val="-4"/>
          <w:sz w:val="28"/>
          <w:szCs w:val="28"/>
          <w:lang w:val="en-US"/>
        </w:rPr>
        <w:t>4</w:t>
      </w:r>
      <w:r>
        <w:rPr>
          <w:rFonts w:ascii="Times New Roman" w:eastAsia="Times New Roman" w:hAnsi="Times New Roman" w:cs="Times New Roman"/>
          <w:spacing w:val="-4"/>
          <w:sz w:val="28"/>
          <w:szCs w:val="28"/>
        </w:rPr>
        <w:t xml:space="preserve"> г. прокурорите от района на Окръжна прокуратура Пазарджик са наблюдавали общо </w:t>
      </w:r>
      <w:r>
        <w:rPr>
          <w:rFonts w:ascii="Times New Roman" w:eastAsia="Times New Roman" w:hAnsi="Times New Roman" w:cs="Times New Roman"/>
          <w:spacing w:val="-4"/>
          <w:sz w:val="28"/>
          <w:szCs w:val="28"/>
          <w:lang w:val="en-US"/>
        </w:rPr>
        <w:t>3</w:t>
      </w:r>
      <w:r>
        <w:rPr>
          <w:rFonts w:ascii="Times New Roman" w:eastAsia="Times New Roman" w:hAnsi="Times New Roman" w:cs="Times New Roman"/>
          <w:spacing w:val="-4"/>
          <w:sz w:val="28"/>
          <w:szCs w:val="28"/>
        </w:rPr>
        <w:t xml:space="preserve"> броя  преписки</w:t>
      </w:r>
    </w:p>
    <w:bookmarkEnd w:id="11"/>
    <w:p w14:paraId="2C42FE57"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u w:val="single"/>
        </w:rPr>
        <w:t>След самосезиране</w:t>
      </w:r>
      <w:r>
        <w:rPr>
          <w:rFonts w:ascii="Times New Roman" w:eastAsia="Times New Roman" w:hAnsi="Times New Roman" w:cs="Times New Roman"/>
          <w:spacing w:val="-4"/>
          <w:sz w:val="28"/>
          <w:szCs w:val="28"/>
        </w:rPr>
        <w:t xml:space="preserve"> през  202</w:t>
      </w:r>
      <w:r>
        <w:rPr>
          <w:rFonts w:ascii="Times New Roman" w:eastAsia="Times New Roman" w:hAnsi="Times New Roman" w:cs="Times New Roman"/>
          <w:spacing w:val="-4"/>
          <w:sz w:val="28"/>
          <w:szCs w:val="28"/>
          <w:lang w:val="en-US"/>
        </w:rPr>
        <w:t>3</w:t>
      </w:r>
      <w:r>
        <w:rPr>
          <w:rFonts w:ascii="Times New Roman" w:eastAsia="Times New Roman" w:hAnsi="Times New Roman" w:cs="Times New Roman"/>
          <w:spacing w:val="-4"/>
          <w:sz w:val="28"/>
          <w:szCs w:val="28"/>
        </w:rPr>
        <w:t xml:space="preserve"> г. прокурорите от района на Окръжна прокуратура Пазарджик са наблюдавали също </w:t>
      </w:r>
      <w:r>
        <w:rPr>
          <w:rFonts w:ascii="Times New Roman" w:eastAsia="Times New Roman" w:hAnsi="Times New Roman" w:cs="Times New Roman"/>
          <w:spacing w:val="-4"/>
          <w:sz w:val="28"/>
          <w:szCs w:val="28"/>
          <w:lang w:val="en-US"/>
        </w:rPr>
        <w:t>3</w:t>
      </w:r>
      <w:r>
        <w:rPr>
          <w:rFonts w:ascii="Times New Roman" w:eastAsia="Times New Roman" w:hAnsi="Times New Roman" w:cs="Times New Roman"/>
          <w:spacing w:val="-4"/>
          <w:sz w:val="28"/>
          <w:szCs w:val="28"/>
        </w:rPr>
        <w:t xml:space="preserve"> броя  преписки.</w:t>
      </w:r>
      <w:r>
        <w:rPr>
          <w:rFonts w:ascii="Times New Roman" w:eastAsia="Times New Roman" w:hAnsi="Times New Roman" w:cs="Times New Roman"/>
          <w:spacing w:val="-4"/>
          <w:sz w:val="28"/>
          <w:szCs w:val="28"/>
          <w:lang w:val="en-US"/>
        </w:rPr>
        <w:t xml:space="preserve"> </w:t>
      </w:r>
      <w:r>
        <w:rPr>
          <w:rFonts w:ascii="Times New Roman" w:eastAsia="Times New Roman" w:hAnsi="Times New Roman" w:cs="Times New Roman"/>
          <w:spacing w:val="-4"/>
          <w:sz w:val="28"/>
          <w:szCs w:val="28"/>
        </w:rPr>
        <w:t>Наблюдава се тенденция към двойно увеличаване  на  броя на преписките, образувани след самосезиране, което е резултат от  по- голяма активност и усърдие на прокурорите при наличието на данни за извършено престъпление. По три от тях са образувани досъдебни производства.</w:t>
      </w:r>
    </w:p>
    <w:p w14:paraId="212421E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Наблюдавани през 2025 г. досъдебни производства – 3 броя, от които   има един  внесен прокурорски акт в съда.</w:t>
      </w:r>
    </w:p>
    <w:p w14:paraId="02347927"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Наблюдавани в  2024 г. досъдебни производства – 3 броя, от които  няма внесен прокурорски акт в съда,  при  4 досъдебни производства за 2023г.През 2022 г. са наблюдавани – </w:t>
      </w:r>
      <w:r>
        <w:rPr>
          <w:rFonts w:ascii="Times New Roman" w:eastAsia="Times New Roman" w:hAnsi="Times New Roman" w:cs="Times New Roman"/>
          <w:spacing w:val="-4"/>
          <w:sz w:val="28"/>
          <w:szCs w:val="28"/>
          <w:lang w:val="en-US"/>
        </w:rPr>
        <w:t>9</w:t>
      </w:r>
      <w:r>
        <w:rPr>
          <w:rFonts w:ascii="Times New Roman" w:eastAsia="Times New Roman" w:hAnsi="Times New Roman" w:cs="Times New Roman"/>
          <w:spacing w:val="-4"/>
          <w:sz w:val="28"/>
          <w:szCs w:val="28"/>
        </w:rPr>
        <w:t xml:space="preserve"> броя досъдебни производства.</w:t>
      </w:r>
    </w:p>
    <w:p w14:paraId="32187A6D"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u w:val="single"/>
        </w:rPr>
        <w:t>По сигнали на контролните органи</w:t>
      </w:r>
      <w:r>
        <w:rPr>
          <w:rFonts w:ascii="Times New Roman" w:eastAsia="Times New Roman" w:hAnsi="Times New Roman" w:cs="Times New Roman"/>
          <w:spacing w:val="-4"/>
          <w:sz w:val="28"/>
          <w:szCs w:val="28"/>
        </w:rPr>
        <w:t xml:space="preserve"> са образувани общо 25 броя преписки, при </w:t>
      </w:r>
      <w:r>
        <w:rPr>
          <w:rFonts w:ascii="Times New Roman" w:eastAsia="Times New Roman" w:hAnsi="Times New Roman" w:cs="Times New Roman"/>
          <w:spacing w:val="-4"/>
          <w:sz w:val="28"/>
          <w:szCs w:val="28"/>
          <w:u w:val="single"/>
        </w:rPr>
        <w:t xml:space="preserve"> </w:t>
      </w:r>
      <w:r>
        <w:rPr>
          <w:rFonts w:ascii="Times New Roman" w:eastAsia="Times New Roman" w:hAnsi="Times New Roman" w:cs="Times New Roman"/>
          <w:spacing w:val="-4"/>
          <w:sz w:val="28"/>
          <w:szCs w:val="28"/>
        </w:rPr>
        <w:t xml:space="preserve"> 42 броя преписки за 2024 г. и  73 преписки за 2023г. Т.е. наблюдава се отрицателна промяна в активността на контролните органи през отчетния период. От наблюдаваните 25 броя преписки през отчетния период, 21 броя са решени с образуване на досъдебно производство.</w:t>
      </w:r>
    </w:p>
    <w:p w14:paraId="701D765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През отчетния период, наблюдаваните досъдебни производства, образувани по сигнали на контролните органи са общо 108 броя , при  134 броя за 2024 г. и 141 броя за 2023г.    По 15  от тях са приключили с внесен прокурорски акт в съда и осъдените лица с влязъл в сила съдебен акт са 10.</w:t>
      </w:r>
    </w:p>
    <w:p w14:paraId="3552218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u w:val="single"/>
        </w:rPr>
        <w:t>По материали от ДАНС</w:t>
      </w:r>
      <w:r>
        <w:rPr>
          <w:rFonts w:ascii="Times New Roman" w:eastAsia="Times New Roman" w:hAnsi="Times New Roman" w:cs="Times New Roman"/>
          <w:spacing w:val="-4"/>
          <w:sz w:val="28"/>
          <w:szCs w:val="28"/>
        </w:rPr>
        <w:t xml:space="preserve"> през отчетния период са наблюдавани 2 броя преписки , като по една от тях е образувано досъдебно производство.  Същите са показателите  за 2024 г. Наблюдавани са общо 4 броя досъдебни производства, едно досъдебно производство е внесено в съда с прокурорски акт. През 2024 г. са  наблюдавани 3 броя досъдебни производства, като няма внесени в </w:t>
      </w:r>
      <w:proofErr w:type="spellStart"/>
      <w:r>
        <w:rPr>
          <w:rFonts w:ascii="Times New Roman" w:eastAsia="Times New Roman" w:hAnsi="Times New Roman" w:cs="Times New Roman"/>
          <w:spacing w:val="-4"/>
          <w:sz w:val="28"/>
          <w:szCs w:val="28"/>
        </w:rPr>
        <w:t>съда.През</w:t>
      </w:r>
      <w:proofErr w:type="spellEnd"/>
      <w:r>
        <w:rPr>
          <w:rFonts w:ascii="Times New Roman" w:eastAsia="Times New Roman" w:hAnsi="Times New Roman" w:cs="Times New Roman"/>
          <w:spacing w:val="-4"/>
          <w:sz w:val="28"/>
          <w:szCs w:val="28"/>
        </w:rPr>
        <w:t xml:space="preserve"> предходната 2023 г. са наблюдавани  2 броя преписки и са образувани 2 досъдебни производства,  едно от които е внесено в съда.</w:t>
      </w:r>
    </w:p>
    <w:p w14:paraId="2ADC1E5E"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lang w:val="en-US"/>
        </w:rPr>
      </w:pP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4"/>
          <w:sz w:val="28"/>
          <w:szCs w:val="28"/>
          <w:u w:val="single"/>
        </w:rPr>
        <w:t>По материали на Дирекция „Вътрешна сигурност“ – МВР</w:t>
      </w:r>
      <w:r>
        <w:rPr>
          <w:rFonts w:ascii="Times New Roman" w:eastAsia="Times New Roman" w:hAnsi="Times New Roman" w:cs="Times New Roman"/>
          <w:spacing w:val="-4"/>
          <w:sz w:val="28"/>
          <w:szCs w:val="28"/>
        </w:rPr>
        <w:t xml:space="preserve"> през отчетния период са били наблюдавани общо 20 броя преписки, като по една от тях е образувано досъдебно </w:t>
      </w:r>
      <w:proofErr w:type="spellStart"/>
      <w:r>
        <w:rPr>
          <w:rFonts w:ascii="Times New Roman" w:eastAsia="Times New Roman" w:hAnsi="Times New Roman" w:cs="Times New Roman"/>
          <w:spacing w:val="-4"/>
          <w:sz w:val="28"/>
          <w:szCs w:val="28"/>
        </w:rPr>
        <w:t>производство.Няма</w:t>
      </w:r>
      <w:proofErr w:type="spellEnd"/>
      <w:r>
        <w:rPr>
          <w:rFonts w:ascii="Times New Roman" w:eastAsia="Times New Roman" w:hAnsi="Times New Roman" w:cs="Times New Roman"/>
          <w:spacing w:val="-4"/>
          <w:sz w:val="28"/>
          <w:szCs w:val="28"/>
        </w:rPr>
        <w:t xml:space="preserve"> наблюдавани досъдебни </w:t>
      </w:r>
      <w:proofErr w:type="spellStart"/>
      <w:r>
        <w:rPr>
          <w:rFonts w:ascii="Times New Roman" w:eastAsia="Times New Roman" w:hAnsi="Times New Roman" w:cs="Times New Roman"/>
          <w:spacing w:val="-4"/>
          <w:sz w:val="28"/>
          <w:szCs w:val="28"/>
        </w:rPr>
        <w:t>произодства</w:t>
      </w:r>
      <w:proofErr w:type="spellEnd"/>
      <w:r>
        <w:rPr>
          <w:rFonts w:ascii="Times New Roman" w:eastAsia="Times New Roman" w:hAnsi="Times New Roman" w:cs="Times New Roman"/>
          <w:spacing w:val="-4"/>
          <w:sz w:val="28"/>
          <w:szCs w:val="28"/>
        </w:rPr>
        <w:t xml:space="preserve">. През 2024 г. са наблюдавани 6 броя преписки и едно досъдебно производство. През 2023 г. са наблюдавани 4 броя преписки и един брой ДП.  </w:t>
      </w:r>
    </w:p>
    <w:p w14:paraId="5985C115"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lang w:val="en-US"/>
        </w:rPr>
      </w:pPr>
      <w:r>
        <w:rPr>
          <w:rFonts w:ascii="Times New Roman" w:eastAsia="Times New Roman" w:hAnsi="Times New Roman" w:cs="Times New Roman"/>
          <w:spacing w:val="-4"/>
          <w:sz w:val="28"/>
          <w:szCs w:val="28"/>
          <w:u w:val="single"/>
        </w:rPr>
        <w:t>По материали от Комисия за противодействие на корупцията</w:t>
      </w:r>
      <w:r>
        <w:rPr>
          <w:rFonts w:ascii="Times New Roman" w:eastAsia="Times New Roman" w:hAnsi="Times New Roman" w:cs="Times New Roman"/>
          <w:spacing w:val="-4"/>
          <w:sz w:val="28"/>
          <w:szCs w:val="28"/>
        </w:rPr>
        <w:t xml:space="preserve"> през отчетния период са наблюдавани 2 броя преписки, като няма образувано досъдебно производство</w:t>
      </w:r>
    </w:p>
    <w:p w14:paraId="7B4D20A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pacing w:val="-4"/>
          <w:sz w:val="28"/>
          <w:szCs w:val="28"/>
        </w:rPr>
      </w:pPr>
      <w:bookmarkStart w:id="12" w:name="OLE_LINK107"/>
      <w:r>
        <w:rPr>
          <w:rFonts w:ascii="Times New Roman" w:eastAsia="Times New Roman" w:hAnsi="Times New Roman" w:cs="Times New Roman"/>
          <w:spacing w:val="-4"/>
          <w:sz w:val="28"/>
          <w:szCs w:val="28"/>
        </w:rPr>
        <w:lastRenderedPageBreak/>
        <w:t xml:space="preserve">С оглед на данните, </w:t>
      </w:r>
      <w:r>
        <w:rPr>
          <w:rFonts w:ascii="Times New Roman" w:eastAsia="Times New Roman" w:hAnsi="Times New Roman" w:cs="Times New Roman"/>
          <w:sz w:val="28"/>
          <w:szCs w:val="28"/>
          <w:lang w:bidi="bg-BG"/>
        </w:rPr>
        <w:t xml:space="preserve">през отчетната 2025 г. не се наблюдава достатъчна активност в дейността на контролните органи в </w:t>
      </w:r>
      <w:proofErr w:type="spellStart"/>
      <w:r>
        <w:rPr>
          <w:rFonts w:ascii="Times New Roman" w:eastAsia="Times New Roman" w:hAnsi="Times New Roman" w:cs="Times New Roman"/>
          <w:sz w:val="28"/>
          <w:szCs w:val="28"/>
          <w:lang w:bidi="bg-BG"/>
        </w:rPr>
        <w:t>Р.България</w:t>
      </w:r>
      <w:proofErr w:type="spellEnd"/>
      <w:r>
        <w:rPr>
          <w:rFonts w:ascii="Times New Roman" w:eastAsia="Times New Roman" w:hAnsi="Times New Roman" w:cs="Times New Roman"/>
          <w:sz w:val="28"/>
          <w:szCs w:val="28"/>
          <w:lang w:bidi="bg-BG"/>
        </w:rPr>
        <w:t xml:space="preserve">, по сезирането на Прокуратурата с данни за извършени престъпления, с изключение на Агенцията по приходите и </w:t>
      </w:r>
      <w:r>
        <w:rPr>
          <w:rFonts w:ascii="Times New Roman" w:eastAsia="Times New Roman" w:hAnsi="Times New Roman" w:cs="Times New Roman"/>
          <w:spacing w:val="-4"/>
          <w:sz w:val="28"/>
          <w:szCs w:val="28"/>
        </w:rPr>
        <w:t>Дирекция „Вътрешна сигурност“ – МВР</w:t>
      </w:r>
      <w:r>
        <w:rPr>
          <w:rFonts w:ascii="Times New Roman" w:eastAsia="Times New Roman" w:hAnsi="Times New Roman" w:cs="Times New Roman"/>
          <w:sz w:val="28"/>
          <w:szCs w:val="28"/>
          <w:lang w:bidi="bg-BG"/>
        </w:rPr>
        <w:t xml:space="preserve">. </w:t>
      </w:r>
    </w:p>
    <w:p w14:paraId="58EAF206" w14:textId="77777777" w:rsidR="00660716" w:rsidRDefault="00660716" w:rsidP="00660716">
      <w:pPr>
        <w:widowControl w:val="0"/>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Пред този отчетен период, проблемите, свързани с работата по преписките, преповтарят тези от предходните години. За поредна година се наблюдава тенденцията в занижаване качеството на работата на полицейските служители по предварителни проверки, както и неизпълнението в пълен обем на писмените указания на прокурора. Събират се данни, които не са достатъчни и не изясняват в пълнота проверяваните случаи. Не се изпълняват в законоустановения срок на проверките всички дадени указания от наблюдаващия прокурор, необходими за преценка относно образуване на досъдебно производство или отказ по реда на чл. 213 от НПК. Като тази констатация важи и относно възлаганите и извършвани проверки от Комисия за противодействие на корупцията. Това безспорно е затруднило работата на прокуратурата, включително и по преценка за начина на решаване на преписката,  невъзможност за допълване на данните при изтекъл законов срок и неизпълнени писмени указания. Отново актуален проблем е липсата на инициативност у проверяващите, като изцяло активните действия по изясняване на фактологията се прехвърля върху наблюдаващия прокурор. Именно в такива случаи, прокурорът се запознава с преписката за първи път едва след извършената проверка, която често е непълна, а събраната информация – недостатъчна. Предвид непълнотата на тези проверки и максималният срок за извършването им – до 3 месеца, то в тези случаи прокурорите са принудени да решават преписки с образуване на досъдебно производство, по които обаче след немалък срок на разследване се постановява прекратяване на наказателното производство.</w:t>
      </w:r>
      <w:bookmarkEnd w:id="12"/>
    </w:p>
    <w:p w14:paraId="4853A91F" w14:textId="77777777" w:rsidR="00660716" w:rsidRDefault="00660716" w:rsidP="00660716">
      <w:pPr>
        <w:pStyle w:val="a4"/>
        <w:tabs>
          <w:tab w:val="left" w:pos="426"/>
        </w:tabs>
        <w:ind w:left="-567" w:right="-427" w:firstLine="567"/>
        <w:rPr>
          <w:rFonts w:ascii="Times New Roman" w:eastAsia="Times New Roman" w:hAnsi="Times New Roman" w:cs="Times New Roman"/>
          <w:b/>
          <w:color w:val="FF0000"/>
          <w:sz w:val="28"/>
          <w:szCs w:val="28"/>
          <w:lang w:bidi="bg-BG"/>
        </w:rPr>
      </w:pPr>
    </w:p>
    <w:p w14:paraId="4C8BD50A"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t>2. Следствен надзор.</w:t>
      </w:r>
    </w:p>
    <w:p w14:paraId="2B78C51D"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spacing w:val="-4"/>
          <w:sz w:val="28"/>
          <w:szCs w:val="28"/>
          <w:u w:val="single"/>
        </w:rPr>
      </w:pPr>
    </w:p>
    <w:p w14:paraId="532EB344"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spacing w:val="-4"/>
          <w:sz w:val="28"/>
          <w:szCs w:val="28"/>
        </w:rPr>
      </w:pPr>
      <w:r>
        <w:rPr>
          <w:rFonts w:ascii="Times New Roman" w:eastAsia="Times New Roman" w:hAnsi="Times New Roman" w:cs="Times New Roman"/>
          <w:b/>
          <w:spacing w:val="-4"/>
          <w:sz w:val="28"/>
          <w:szCs w:val="28"/>
        </w:rPr>
        <w:t>2.1. Обобщени данни по видове досъдебни производства и съобразно систематиката на НК, включително по отношение на пострадалите лица и на ощетените юридически лица от престъпления.</w:t>
      </w:r>
    </w:p>
    <w:p w14:paraId="41A0075A"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i/>
          <w:spacing w:val="-4"/>
          <w:sz w:val="28"/>
          <w:szCs w:val="28"/>
          <w:u w:val="single"/>
        </w:rPr>
      </w:pPr>
    </w:p>
    <w:p w14:paraId="3346E4C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sz w:val="28"/>
          <w:szCs w:val="28"/>
        </w:rPr>
        <w:t xml:space="preserve">През отчетния период 2025 г. прокурорите от всички прокуратури в района на Окръжна прокуратура Пазарджик </w:t>
      </w:r>
      <w:r>
        <w:rPr>
          <w:rFonts w:ascii="Times New Roman" w:eastAsia="Cambria" w:hAnsi="Times New Roman" w:cs="Times New Roman"/>
          <w:b/>
          <w:sz w:val="28"/>
          <w:szCs w:val="28"/>
        </w:rPr>
        <w:t>са наблюдавали общо</w:t>
      </w:r>
      <w:r>
        <w:rPr>
          <w:rFonts w:ascii="Times New Roman" w:eastAsia="Cambria" w:hAnsi="Times New Roman" w:cs="Times New Roman"/>
          <w:sz w:val="28"/>
          <w:szCs w:val="28"/>
        </w:rPr>
        <w:t xml:space="preserve"> 6923 досъдебни производства, при 7123 досъдебни производства за 2024 г. и при 6205 досъдебни производства за 2023 г. </w:t>
      </w:r>
      <w:bookmarkStart w:id="13" w:name="OLE_LINK96"/>
      <w:bookmarkStart w:id="14" w:name="OLE_LINK97"/>
      <w:r>
        <w:rPr>
          <w:rFonts w:ascii="Times New Roman" w:eastAsia="Cambria" w:hAnsi="Times New Roman" w:cs="Times New Roman"/>
          <w:color w:val="000000" w:themeColor="text1"/>
          <w:sz w:val="28"/>
          <w:szCs w:val="28"/>
        </w:rPr>
        <w:t xml:space="preserve">Налице е намаление на броя на наблюдаваните наказателни производства спрямо 2024 г. с 2.81 % ( или с 200 ДП по-малко), и увеличение спрямо 2023 г. с10.37 % </w:t>
      </w:r>
      <w:bookmarkStart w:id="15" w:name="OLE_LINK102"/>
      <w:r>
        <w:rPr>
          <w:rFonts w:ascii="Times New Roman" w:eastAsia="Cambria" w:hAnsi="Times New Roman" w:cs="Times New Roman"/>
          <w:color w:val="000000" w:themeColor="text1"/>
          <w:sz w:val="28"/>
          <w:szCs w:val="28"/>
        </w:rPr>
        <w:t>( или с 718  ДП повече)</w:t>
      </w:r>
      <w:bookmarkEnd w:id="15"/>
      <w:r>
        <w:rPr>
          <w:rFonts w:ascii="Times New Roman" w:eastAsia="Cambria" w:hAnsi="Times New Roman" w:cs="Times New Roman"/>
          <w:color w:val="000000" w:themeColor="text1"/>
          <w:sz w:val="28"/>
          <w:szCs w:val="28"/>
        </w:rPr>
        <w:t>.</w:t>
      </w:r>
    </w:p>
    <w:bookmarkEnd w:id="13"/>
    <w:bookmarkEnd w:id="14"/>
    <w:p w14:paraId="41C2B0E1"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14:paraId="65088FBD"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b/>
          <w:sz w:val="28"/>
          <w:szCs w:val="28"/>
        </w:rPr>
        <w:t>Новообразуваните досъдебни производства</w:t>
      </w:r>
      <w:r>
        <w:rPr>
          <w:rFonts w:ascii="Times New Roman" w:eastAsia="Cambria" w:hAnsi="Times New Roman" w:cs="Times New Roman"/>
          <w:sz w:val="28"/>
          <w:szCs w:val="28"/>
        </w:rPr>
        <w:t xml:space="preserve"> през отчетната 2025 г. са 2710. При съпоставката с броя на новообразуваните досъдебни производства през предходната 2024 г., когато те са били 2810, сочи намаление с 3,56%, а спрямо 2023 г., когато те са били 2565, сочи увеличение с 5,35 %. </w:t>
      </w:r>
    </w:p>
    <w:p w14:paraId="147F23FF" w14:textId="77777777" w:rsidR="00660716" w:rsidRDefault="00660716" w:rsidP="00660716">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отчетната 2025 г. броя на новообразуваните досъдебни производства съставлява 39,14 % от общо наблюдаваните дела. През 2024 г. броят на </w:t>
      </w:r>
      <w:r>
        <w:rPr>
          <w:rFonts w:ascii="Times New Roman" w:hAnsi="Times New Roman" w:cs="Times New Roman"/>
          <w:sz w:val="28"/>
          <w:szCs w:val="28"/>
        </w:rPr>
        <w:lastRenderedPageBreak/>
        <w:t xml:space="preserve">новообразуваните досъдебни производства е съставлявал </w:t>
      </w:r>
      <w:r>
        <w:rPr>
          <w:rFonts w:ascii="Times New Roman" w:hAnsi="Times New Roman" w:cs="Times New Roman"/>
          <w:color w:val="000000" w:themeColor="text1"/>
          <w:sz w:val="28"/>
          <w:szCs w:val="28"/>
        </w:rPr>
        <w:t xml:space="preserve">39,4 % </w:t>
      </w:r>
      <w:r>
        <w:rPr>
          <w:rFonts w:ascii="Times New Roman" w:hAnsi="Times New Roman" w:cs="Times New Roman"/>
          <w:sz w:val="28"/>
          <w:szCs w:val="28"/>
        </w:rPr>
        <w:t>от общо наблюдаваните дела, а през 2023 г. - 41,3 % .</w:t>
      </w:r>
    </w:p>
    <w:p w14:paraId="6C94BB6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bookmarkStart w:id="16" w:name="OLE_LINK104"/>
      <w:r>
        <w:rPr>
          <w:rFonts w:ascii="Times New Roman" w:eastAsia="Cambria" w:hAnsi="Times New Roman" w:cs="Times New Roman"/>
          <w:b/>
          <w:color w:val="000000" w:themeColor="text1"/>
          <w:sz w:val="28"/>
          <w:szCs w:val="28"/>
        </w:rPr>
        <w:t>На производство</w:t>
      </w:r>
      <w:r>
        <w:rPr>
          <w:rFonts w:ascii="Times New Roman" w:eastAsia="Cambria" w:hAnsi="Times New Roman" w:cs="Times New Roman"/>
          <w:color w:val="000000" w:themeColor="text1"/>
          <w:sz w:val="28"/>
          <w:szCs w:val="28"/>
        </w:rPr>
        <w:t xml:space="preserve"> през 2025 г. са били 4886 досъдебни производства,</w:t>
      </w:r>
      <w:r>
        <w:rPr>
          <w:rFonts w:ascii="Times New Roman" w:eastAsia="Cambria" w:hAnsi="Times New Roman" w:cs="Times New Roman"/>
          <w:b/>
          <w:color w:val="000000" w:themeColor="text1"/>
          <w:sz w:val="28"/>
          <w:szCs w:val="28"/>
        </w:rPr>
        <w:t xml:space="preserve"> </w:t>
      </w:r>
      <w:r>
        <w:rPr>
          <w:rFonts w:ascii="Times New Roman" w:eastAsia="Cambria" w:hAnsi="Times New Roman" w:cs="Times New Roman"/>
          <w:color w:val="000000" w:themeColor="text1"/>
          <w:sz w:val="28"/>
          <w:szCs w:val="28"/>
        </w:rPr>
        <w:t xml:space="preserve">при 4640 бр. за 2024 г. и  4349 бр. за 2023 г.  </w:t>
      </w:r>
      <w:bookmarkEnd w:id="16"/>
    </w:p>
    <w:p w14:paraId="20E699D1"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p>
    <w:p w14:paraId="49A7A557"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отчетната 2025 г. са </w:t>
      </w:r>
      <w:bookmarkStart w:id="17" w:name="OLE_LINK77"/>
      <w:r>
        <w:rPr>
          <w:rFonts w:ascii="Times New Roman" w:eastAsia="Times New Roman" w:hAnsi="Times New Roman" w:cs="Times New Roman"/>
          <w:sz w:val="28"/>
          <w:szCs w:val="28"/>
          <w:lang w:bidi="bg-BG"/>
        </w:rPr>
        <w:t>приключени от разследващ орган общо 2760 досъдебни производства,</w:t>
      </w:r>
      <w:bookmarkEnd w:id="17"/>
      <w:r>
        <w:rPr>
          <w:rFonts w:ascii="Times New Roman" w:eastAsia="Times New Roman" w:hAnsi="Times New Roman" w:cs="Times New Roman"/>
          <w:sz w:val="28"/>
          <w:szCs w:val="28"/>
          <w:lang w:bidi="bg-BG"/>
        </w:rPr>
        <w:t xml:space="preserve"> което е 38.75 % от общо наблюдаваните 7123 </w:t>
      </w:r>
      <w:r>
        <w:rPr>
          <w:rFonts w:ascii="Times New Roman" w:hAnsi="Times New Roman" w:cs="Times New Roman"/>
          <w:sz w:val="28"/>
          <w:szCs w:val="28"/>
        </w:rPr>
        <w:t>досъдебни производства</w:t>
      </w:r>
      <w:r>
        <w:rPr>
          <w:rFonts w:ascii="Times New Roman" w:eastAsia="Times New Roman" w:hAnsi="Times New Roman" w:cs="Times New Roman"/>
          <w:sz w:val="28"/>
          <w:szCs w:val="28"/>
          <w:lang w:bidi="bg-BG"/>
        </w:rPr>
        <w:t xml:space="preserve">. За 2024 г. са били приключени общо 2661 </w:t>
      </w:r>
      <w:r>
        <w:rPr>
          <w:rFonts w:ascii="Times New Roman" w:hAnsi="Times New Roman" w:cs="Times New Roman"/>
          <w:sz w:val="28"/>
          <w:szCs w:val="28"/>
        </w:rPr>
        <w:t>досъдебни производства</w:t>
      </w:r>
      <w:r>
        <w:rPr>
          <w:rFonts w:ascii="Times New Roman" w:eastAsia="Times New Roman" w:hAnsi="Times New Roman" w:cs="Times New Roman"/>
          <w:sz w:val="28"/>
          <w:szCs w:val="28"/>
          <w:lang w:bidi="bg-BG"/>
        </w:rPr>
        <w:t xml:space="preserve">, което е 37,3 %  от наблюдаваните 7125 </w:t>
      </w:r>
      <w:r>
        <w:rPr>
          <w:rFonts w:ascii="Times New Roman" w:hAnsi="Times New Roman" w:cs="Times New Roman"/>
          <w:sz w:val="28"/>
          <w:szCs w:val="28"/>
        </w:rPr>
        <w:t>досъдебни производства</w:t>
      </w:r>
      <w:r>
        <w:rPr>
          <w:rFonts w:ascii="Times New Roman" w:eastAsia="Times New Roman" w:hAnsi="Times New Roman" w:cs="Times New Roman"/>
          <w:sz w:val="28"/>
          <w:szCs w:val="28"/>
          <w:lang w:bidi="bg-BG"/>
        </w:rPr>
        <w:t xml:space="preserve">. За 2023 г. относителният дял на приключените 2588 </w:t>
      </w:r>
      <w:r>
        <w:rPr>
          <w:rFonts w:ascii="Times New Roman" w:hAnsi="Times New Roman" w:cs="Times New Roman"/>
          <w:sz w:val="28"/>
          <w:szCs w:val="28"/>
        </w:rPr>
        <w:t>досъдебни производства</w:t>
      </w:r>
      <w:r>
        <w:rPr>
          <w:rFonts w:ascii="Times New Roman" w:eastAsia="Times New Roman" w:hAnsi="Times New Roman" w:cs="Times New Roman"/>
          <w:sz w:val="28"/>
          <w:szCs w:val="28"/>
          <w:lang w:bidi="bg-BG"/>
        </w:rPr>
        <w:t xml:space="preserve"> спрямо наблюдаваните 6205  </w:t>
      </w:r>
      <w:r>
        <w:rPr>
          <w:rFonts w:ascii="Times New Roman" w:hAnsi="Times New Roman" w:cs="Times New Roman"/>
          <w:sz w:val="28"/>
          <w:szCs w:val="28"/>
        </w:rPr>
        <w:t>досъдебни производства</w:t>
      </w:r>
      <w:r>
        <w:rPr>
          <w:rFonts w:ascii="Times New Roman" w:eastAsia="Times New Roman" w:hAnsi="Times New Roman" w:cs="Times New Roman"/>
          <w:sz w:val="28"/>
          <w:szCs w:val="28"/>
          <w:lang w:bidi="bg-BG"/>
        </w:rPr>
        <w:t xml:space="preserve"> е бил  41,7%</w:t>
      </w:r>
    </w:p>
    <w:p w14:paraId="3F7EE035"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Следва да се отбележи, че приключилите досъдебни производства през годината са били в законовия срок за разследване. </w:t>
      </w:r>
    </w:p>
    <w:p w14:paraId="016C36C9"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В края на периода всички </w:t>
      </w:r>
      <w:proofErr w:type="spellStart"/>
      <w:r>
        <w:rPr>
          <w:rFonts w:ascii="Times New Roman" w:eastAsia="Times New Roman" w:hAnsi="Times New Roman" w:cs="Times New Roman"/>
          <w:sz w:val="28"/>
          <w:szCs w:val="28"/>
          <w:lang w:bidi="bg-BG"/>
        </w:rPr>
        <w:t>неприключили</w:t>
      </w:r>
      <w:proofErr w:type="spellEnd"/>
      <w:r>
        <w:rPr>
          <w:rFonts w:ascii="Times New Roman" w:eastAsia="Times New Roman" w:hAnsi="Times New Roman" w:cs="Times New Roman"/>
          <w:sz w:val="28"/>
          <w:szCs w:val="28"/>
          <w:lang w:bidi="bg-BG"/>
        </w:rPr>
        <w:t xml:space="preserve"> досъдебни производства – 1887 досъдебни производства, са били в законовия срок за разследване.</w:t>
      </w:r>
    </w:p>
    <w:p w14:paraId="2F7E7538"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2025 г. досъдебните производства, при които продължителността на досъдебната фаза е до 8 месеца представляват 62.43 % от общо решените - </w:t>
      </w:r>
      <w:r>
        <w:rPr>
          <w:rFonts w:ascii="Times New Roman" w:eastAsia="Cambria" w:hAnsi="Times New Roman" w:cs="Times New Roman"/>
          <w:sz w:val="28"/>
          <w:szCs w:val="28"/>
        </w:rPr>
        <w:t>внесени в съд и прекратени досъдебни производства /без прекратените по давност/</w:t>
      </w:r>
      <w:r>
        <w:rPr>
          <w:rFonts w:ascii="Times New Roman" w:eastAsia="Times New Roman" w:hAnsi="Times New Roman" w:cs="Times New Roman"/>
          <w:sz w:val="28"/>
          <w:szCs w:val="28"/>
          <w:lang w:bidi="bg-BG"/>
        </w:rPr>
        <w:t xml:space="preserve">, при 73% за 2024 г.  и 66,5% за 2023 г., т. е. наблюдава се запазване на тенденция за увеличение на относителния дял на делата, приключени в срок до 8 месеца. </w:t>
      </w:r>
    </w:p>
    <w:p w14:paraId="2163A1AA"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Общо решените досъдебни производства от прокурорите в района на Окръжна прокуратура Пазарджик през отчетната 2025 г. са 4902 досъдебни производства. </w:t>
      </w:r>
    </w:p>
    <w:p w14:paraId="063DBE35"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color w:val="FF0000"/>
          <w:sz w:val="28"/>
          <w:szCs w:val="28"/>
          <w:lang w:bidi="bg-BG"/>
        </w:rPr>
      </w:pPr>
      <w:r>
        <w:rPr>
          <w:rFonts w:ascii="Times New Roman" w:eastAsia="Times New Roman" w:hAnsi="Times New Roman" w:cs="Times New Roman"/>
          <w:sz w:val="28"/>
          <w:szCs w:val="28"/>
          <w:lang w:bidi="bg-BG"/>
        </w:rPr>
        <w:t xml:space="preserve">През 2024 г. са били решени 5253 </w:t>
      </w:r>
      <w:r>
        <w:rPr>
          <w:rFonts w:ascii="Times New Roman" w:hAnsi="Times New Roman" w:cs="Times New Roman"/>
          <w:sz w:val="28"/>
          <w:szCs w:val="28"/>
        </w:rPr>
        <w:t>досъдебни производства</w:t>
      </w:r>
      <w:r>
        <w:rPr>
          <w:rFonts w:ascii="Times New Roman" w:eastAsia="Times New Roman" w:hAnsi="Times New Roman" w:cs="Times New Roman"/>
          <w:sz w:val="28"/>
          <w:szCs w:val="28"/>
          <w:lang w:bidi="bg-BG"/>
        </w:rPr>
        <w:t xml:space="preserve">, а през 2023 г. – 4527 </w:t>
      </w:r>
      <w:r>
        <w:rPr>
          <w:rFonts w:ascii="Times New Roman" w:hAnsi="Times New Roman" w:cs="Times New Roman"/>
          <w:sz w:val="28"/>
          <w:szCs w:val="28"/>
        </w:rPr>
        <w:t>досъдебни производства</w:t>
      </w:r>
      <w:r>
        <w:rPr>
          <w:rFonts w:ascii="Times New Roman" w:eastAsia="Times New Roman" w:hAnsi="Times New Roman" w:cs="Times New Roman"/>
          <w:sz w:val="28"/>
          <w:szCs w:val="28"/>
          <w:lang w:bidi="bg-BG"/>
        </w:rPr>
        <w:t xml:space="preserve">. </w:t>
      </w:r>
      <w:bookmarkStart w:id="18" w:name="OLE_LINK78"/>
      <w:r>
        <w:rPr>
          <w:rFonts w:ascii="Times New Roman" w:eastAsia="Times New Roman" w:hAnsi="Times New Roman" w:cs="Times New Roman"/>
          <w:sz w:val="28"/>
          <w:szCs w:val="28"/>
          <w:lang w:bidi="bg-BG"/>
        </w:rPr>
        <w:t xml:space="preserve">Наблюдава се намаление на общо решените от прокурор досъдебни производства спрямо 2024 год.  с 6.68%  и увеличение спрямо 2023 г. с 6.65 %. </w:t>
      </w:r>
      <w:bookmarkEnd w:id="18"/>
      <w:r>
        <w:rPr>
          <w:rFonts w:ascii="Times New Roman" w:eastAsia="Times New Roman" w:hAnsi="Times New Roman" w:cs="Times New Roman"/>
          <w:sz w:val="28"/>
          <w:szCs w:val="28"/>
          <w:lang w:bidi="bg-BG"/>
        </w:rPr>
        <w:t xml:space="preserve">Активната работа на прокурорите в района на Окръжна прокуратура Пазарджик следва да се запази и за в бъдеще. </w:t>
      </w:r>
    </w:p>
    <w:p w14:paraId="09B69F02"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Относително висок дял – 30.14 % от прокурорските произнасяния по приключените разследвания, заемат постановленията за спиране на наказателно производство, обяснимо с разкриваемостта, постигната от органите на МВР. През предходната 2024г. спрените досъдебни производства са били 33% , а през 2023г.  30.4 % от приключените разследвания. </w:t>
      </w:r>
    </w:p>
    <w:p w14:paraId="3DFEBDD8"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отчетната 2025 г. 629 бр. или 75,6 % от всички спрени досъдебни производства са поради неразкриване на извършителя. Именно тези дела генерират негативни обществени оценки и са основната причина за множеството прекратени по давност дела, които ежегодно прокуратурите отчитат.</w:t>
      </w:r>
    </w:p>
    <w:p w14:paraId="70C5ECCE"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отчетната година, прокурорите от Пазарджишки съдебен район са прекратили по давност общо 2037 досъдебни производства или 64 % от всички прекратени през годината досъдебни производства. За сравнение, прекратените по давност досъдебни производства през 2024 г. са били 2483 или 71.3 % от всички прекратени през годината дела, а през 2023 г. са били 1856 или 64,9 % от всички прекратени досъдебни производства. </w:t>
      </w:r>
    </w:p>
    <w:p w14:paraId="741AA18E"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През отчетната 2025 г. прокурорите в района са внесли в съда общо 789 прокурорски актове срещу 845</w:t>
      </w:r>
      <w:r>
        <w:rPr>
          <w:rFonts w:ascii="Times New Roman" w:eastAsia="Times New Roman" w:hAnsi="Times New Roman" w:cs="Times New Roman"/>
          <w:color w:val="FF0000"/>
          <w:sz w:val="28"/>
          <w:szCs w:val="28"/>
          <w:lang w:bidi="bg-BG"/>
        </w:rPr>
        <w:t xml:space="preserve"> </w:t>
      </w:r>
      <w:r>
        <w:rPr>
          <w:rFonts w:ascii="Times New Roman" w:eastAsia="Times New Roman" w:hAnsi="Times New Roman" w:cs="Times New Roman"/>
          <w:sz w:val="28"/>
          <w:szCs w:val="28"/>
          <w:lang w:bidi="bg-BG"/>
        </w:rPr>
        <w:t xml:space="preserve">лица, т.е. това са 16.1,7% от всички решени досъдебни производства. За сравнение, през предходната 2024 г. и 2023 г. </w:t>
      </w:r>
      <w:r>
        <w:rPr>
          <w:rFonts w:ascii="Times New Roman" w:eastAsia="Times New Roman" w:hAnsi="Times New Roman" w:cs="Times New Roman"/>
          <w:sz w:val="28"/>
          <w:szCs w:val="28"/>
          <w:lang w:bidi="bg-BG"/>
        </w:rPr>
        <w:lastRenderedPageBreak/>
        <w:t xml:space="preserve">внесените в съда прокурорски актове са били </w:t>
      </w:r>
      <w:proofErr w:type="spellStart"/>
      <w:r>
        <w:rPr>
          <w:rFonts w:ascii="Times New Roman" w:eastAsia="Times New Roman" w:hAnsi="Times New Roman" w:cs="Times New Roman"/>
          <w:sz w:val="28"/>
          <w:szCs w:val="28"/>
          <w:lang w:bidi="bg-BG"/>
        </w:rPr>
        <w:t>съотв</w:t>
      </w:r>
      <w:proofErr w:type="spellEnd"/>
      <w:r>
        <w:rPr>
          <w:rFonts w:ascii="Times New Roman" w:eastAsia="Times New Roman" w:hAnsi="Times New Roman" w:cs="Times New Roman"/>
          <w:sz w:val="28"/>
          <w:szCs w:val="28"/>
          <w:lang w:bidi="bg-BG"/>
        </w:rPr>
        <w:t xml:space="preserve">. 15,7 % и 17.6 % от решените досъдебни производства. </w:t>
      </w:r>
    </w:p>
    <w:p w14:paraId="3CB4B534"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p w14:paraId="7B98660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Видове производства.</w:t>
      </w:r>
    </w:p>
    <w:p w14:paraId="208F081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p w14:paraId="2A36236A"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2025 г. са наблюдавани: 695 БП и 4621 ДПОР, като в броя на последните са включени и преобразуваните впоследствие БП.     </w:t>
      </w:r>
      <w:r>
        <w:rPr>
          <w:rFonts w:ascii="Times New Roman" w:eastAsia="Cambria" w:hAnsi="Times New Roman" w:cs="Times New Roman"/>
          <w:sz w:val="28"/>
          <w:szCs w:val="28"/>
        </w:rPr>
        <w:tab/>
      </w:r>
    </w:p>
    <w:p w14:paraId="79F950CD"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19" w:name="OLE_LINK83"/>
      <w:r>
        <w:rPr>
          <w:rFonts w:ascii="Times New Roman" w:eastAsia="Cambria" w:hAnsi="Times New Roman" w:cs="Times New Roman"/>
          <w:sz w:val="28"/>
          <w:szCs w:val="28"/>
        </w:rPr>
        <w:t xml:space="preserve">През 2024 г. са наблюдавани: 759 БП и 4359 ДПОР /в броя на последните са включени и преобразуваните впоследствие БП/.     </w:t>
      </w:r>
      <w:r>
        <w:rPr>
          <w:rFonts w:ascii="Times New Roman" w:eastAsia="Cambria" w:hAnsi="Times New Roman" w:cs="Times New Roman"/>
          <w:sz w:val="28"/>
          <w:szCs w:val="28"/>
        </w:rPr>
        <w:tab/>
      </w:r>
    </w:p>
    <w:p w14:paraId="6C9DCA9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rPr>
      </w:pPr>
      <w:r>
        <w:rPr>
          <w:rFonts w:ascii="Times New Roman" w:eastAsia="Cambria" w:hAnsi="Times New Roman" w:cs="Times New Roman"/>
          <w:sz w:val="28"/>
          <w:szCs w:val="28"/>
        </w:rPr>
        <w:t xml:space="preserve">През 2023 г. са наблюдавани: 536 БП и 4115 ДПОР /в броя на последните са включени и преобразуваните впоследствие БП/. </w:t>
      </w:r>
    </w:p>
    <w:p w14:paraId="1BF02F0D" w14:textId="77777777" w:rsidR="00ED24F6" w:rsidRPr="00ED24F6" w:rsidRDefault="00ED24F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rPr>
      </w:pPr>
    </w:p>
    <w:bookmarkEnd w:id="19"/>
    <w:p w14:paraId="7C73233B"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w:t>
      </w:r>
    </w:p>
    <w:tbl>
      <w:tblPr>
        <w:tblStyle w:val="ab"/>
        <w:tblW w:w="0" w:type="auto"/>
        <w:tblInd w:w="-318" w:type="dxa"/>
        <w:tblLook w:val="04A0" w:firstRow="1" w:lastRow="0" w:firstColumn="1" w:lastColumn="0" w:noHBand="0" w:noVBand="1"/>
      </w:tblPr>
      <w:tblGrid>
        <w:gridCol w:w="2836"/>
        <w:gridCol w:w="2126"/>
        <w:gridCol w:w="2126"/>
        <w:gridCol w:w="2126"/>
      </w:tblGrid>
      <w:tr w:rsidR="00660716" w14:paraId="6A982B22" w14:textId="77777777" w:rsidTr="00660716">
        <w:tc>
          <w:tcPr>
            <w:tcW w:w="28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81B76CE"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A9BE17"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2025г.</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EE387F"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    2024 г.</w:t>
            </w:r>
          </w:p>
        </w:tc>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FFA2631"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2023 г.</w:t>
            </w:r>
          </w:p>
        </w:tc>
      </w:tr>
      <w:tr w:rsidR="00660716" w14:paraId="407B32B5" w14:textId="77777777" w:rsidTr="00660716">
        <w:tc>
          <w:tcPr>
            <w:tcW w:w="2836" w:type="dxa"/>
            <w:tcBorders>
              <w:top w:val="single" w:sz="4" w:space="0" w:color="auto"/>
              <w:left w:val="single" w:sz="4" w:space="0" w:color="auto"/>
              <w:bottom w:val="single" w:sz="4" w:space="0" w:color="auto"/>
              <w:right w:val="single" w:sz="4" w:space="0" w:color="auto"/>
            </w:tcBorders>
            <w:hideMark/>
          </w:tcPr>
          <w:p w14:paraId="6ABBAD36"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4"/>
                <w:szCs w:val="24"/>
              </w:rPr>
            </w:pPr>
            <w:r>
              <w:rPr>
                <w:rFonts w:ascii="Times New Roman" w:eastAsia="Cambria" w:hAnsi="Times New Roman" w:cs="Times New Roman"/>
                <w:sz w:val="24"/>
                <w:szCs w:val="24"/>
              </w:rPr>
              <w:t>Наблюдавани ДП</w:t>
            </w:r>
          </w:p>
        </w:tc>
        <w:tc>
          <w:tcPr>
            <w:tcW w:w="2126" w:type="dxa"/>
            <w:tcBorders>
              <w:top w:val="single" w:sz="4" w:space="0" w:color="auto"/>
              <w:left w:val="single" w:sz="4" w:space="0" w:color="auto"/>
              <w:bottom w:val="single" w:sz="4" w:space="0" w:color="auto"/>
              <w:right w:val="single" w:sz="4" w:space="0" w:color="auto"/>
            </w:tcBorders>
            <w:hideMark/>
          </w:tcPr>
          <w:p w14:paraId="3CF0E61B"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6923</w:t>
            </w:r>
          </w:p>
        </w:tc>
        <w:tc>
          <w:tcPr>
            <w:tcW w:w="2126" w:type="dxa"/>
            <w:tcBorders>
              <w:top w:val="single" w:sz="4" w:space="0" w:color="auto"/>
              <w:left w:val="single" w:sz="4" w:space="0" w:color="auto"/>
              <w:bottom w:val="single" w:sz="4" w:space="0" w:color="auto"/>
              <w:right w:val="single" w:sz="4" w:space="0" w:color="auto"/>
            </w:tcBorders>
            <w:hideMark/>
          </w:tcPr>
          <w:p w14:paraId="00B86C75"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7123</w:t>
            </w:r>
          </w:p>
        </w:tc>
        <w:tc>
          <w:tcPr>
            <w:tcW w:w="2126" w:type="dxa"/>
            <w:tcBorders>
              <w:top w:val="single" w:sz="4" w:space="0" w:color="auto"/>
              <w:left w:val="single" w:sz="4" w:space="0" w:color="auto"/>
              <w:bottom w:val="single" w:sz="4" w:space="0" w:color="auto"/>
              <w:right w:val="single" w:sz="4" w:space="0" w:color="auto"/>
            </w:tcBorders>
            <w:hideMark/>
          </w:tcPr>
          <w:p w14:paraId="3E258564"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6205</w:t>
            </w:r>
          </w:p>
        </w:tc>
      </w:tr>
      <w:tr w:rsidR="00660716" w14:paraId="0E01C304" w14:textId="77777777" w:rsidTr="00660716">
        <w:tc>
          <w:tcPr>
            <w:tcW w:w="2836" w:type="dxa"/>
            <w:tcBorders>
              <w:top w:val="single" w:sz="4" w:space="0" w:color="auto"/>
              <w:left w:val="single" w:sz="4" w:space="0" w:color="auto"/>
              <w:bottom w:val="single" w:sz="4" w:space="0" w:color="auto"/>
              <w:right w:val="single" w:sz="4" w:space="0" w:color="auto"/>
            </w:tcBorders>
            <w:hideMark/>
          </w:tcPr>
          <w:p w14:paraId="515525D7"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4"/>
                <w:szCs w:val="24"/>
              </w:rPr>
            </w:pPr>
            <w:r>
              <w:rPr>
                <w:rFonts w:ascii="Times New Roman" w:eastAsia="Cambria" w:hAnsi="Times New Roman" w:cs="Times New Roman"/>
                <w:sz w:val="24"/>
                <w:szCs w:val="24"/>
              </w:rPr>
              <w:t>Новообразувани ДП</w:t>
            </w:r>
          </w:p>
        </w:tc>
        <w:tc>
          <w:tcPr>
            <w:tcW w:w="2126" w:type="dxa"/>
            <w:tcBorders>
              <w:top w:val="single" w:sz="4" w:space="0" w:color="auto"/>
              <w:left w:val="single" w:sz="4" w:space="0" w:color="auto"/>
              <w:bottom w:val="single" w:sz="4" w:space="0" w:color="auto"/>
              <w:right w:val="single" w:sz="4" w:space="0" w:color="auto"/>
            </w:tcBorders>
            <w:hideMark/>
          </w:tcPr>
          <w:p w14:paraId="4A998C03"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2710</w:t>
            </w:r>
          </w:p>
        </w:tc>
        <w:tc>
          <w:tcPr>
            <w:tcW w:w="2126" w:type="dxa"/>
            <w:tcBorders>
              <w:top w:val="single" w:sz="4" w:space="0" w:color="auto"/>
              <w:left w:val="single" w:sz="4" w:space="0" w:color="auto"/>
              <w:bottom w:val="single" w:sz="4" w:space="0" w:color="auto"/>
              <w:right w:val="single" w:sz="4" w:space="0" w:color="auto"/>
            </w:tcBorders>
            <w:hideMark/>
          </w:tcPr>
          <w:p w14:paraId="7F9D1FEF"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2810</w:t>
            </w:r>
          </w:p>
        </w:tc>
        <w:tc>
          <w:tcPr>
            <w:tcW w:w="2126" w:type="dxa"/>
            <w:tcBorders>
              <w:top w:val="single" w:sz="4" w:space="0" w:color="auto"/>
              <w:left w:val="single" w:sz="4" w:space="0" w:color="auto"/>
              <w:bottom w:val="single" w:sz="4" w:space="0" w:color="auto"/>
              <w:right w:val="single" w:sz="4" w:space="0" w:color="auto"/>
            </w:tcBorders>
            <w:hideMark/>
          </w:tcPr>
          <w:p w14:paraId="49DF13A7"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2565</w:t>
            </w:r>
          </w:p>
        </w:tc>
      </w:tr>
      <w:tr w:rsidR="00660716" w14:paraId="362FDBDD" w14:textId="77777777" w:rsidTr="00660716">
        <w:tc>
          <w:tcPr>
            <w:tcW w:w="2836" w:type="dxa"/>
            <w:tcBorders>
              <w:top w:val="single" w:sz="4" w:space="0" w:color="auto"/>
              <w:left w:val="single" w:sz="4" w:space="0" w:color="auto"/>
              <w:bottom w:val="single" w:sz="4" w:space="0" w:color="auto"/>
              <w:right w:val="single" w:sz="4" w:space="0" w:color="auto"/>
            </w:tcBorders>
            <w:hideMark/>
          </w:tcPr>
          <w:p w14:paraId="74A31FA8"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4"/>
                <w:szCs w:val="24"/>
              </w:rPr>
            </w:pPr>
            <w:r>
              <w:rPr>
                <w:rFonts w:ascii="Times New Roman" w:eastAsia="Cambria" w:hAnsi="Times New Roman" w:cs="Times New Roman"/>
                <w:sz w:val="24"/>
                <w:szCs w:val="24"/>
              </w:rPr>
              <w:t>Наблюдавани БП</w:t>
            </w:r>
          </w:p>
        </w:tc>
        <w:tc>
          <w:tcPr>
            <w:tcW w:w="2126" w:type="dxa"/>
            <w:tcBorders>
              <w:top w:val="single" w:sz="4" w:space="0" w:color="auto"/>
              <w:left w:val="single" w:sz="4" w:space="0" w:color="auto"/>
              <w:bottom w:val="single" w:sz="4" w:space="0" w:color="auto"/>
              <w:right w:val="single" w:sz="4" w:space="0" w:color="auto"/>
            </w:tcBorders>
            <w:hideMark/>
          </w:tcPr>
          <w:p w14:paraId="31025A81"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695</w:t>
            </w:r>
          </w:p>
        </w:tc>
        <w:tc>
          <w:tcPr>
            <w:tcW w:w="2126" w:type="dxa"/>
            <w:tcBorders>
              <w:top w:val="single" w:sz="4" w:space="0" w:color="auto"/>
              <w:left w:val="single" w:sz="4" w:space="0" w:color="auto"/>
              <w:bottom w:val="single" w:sz="4" w:space="0" w:color="auto"/>
              <w:right w:val="single" w:sz="4" w:space="0" w:color="auto"/>
            </w:tcBorders>
            <w:hideMark/>
          </w:tcPr>
          <w:p w14:paraId="4256E50C"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759</w:t>
            </w:r>
          </w:p>
        </w:tc>
        <w:tc>
          <w:tcPr>
            <w:tcW w:w="2126" w:type="dxa"/>
            <w:tcBorders>
              <w:top w:val="single" w:sz="4" w:space="0" w:color="auto"/>
              <w:left w:val="single" w:sz="4" w:space="0" w:color="auto"/>
              <w:bottom w:val="single" w:sz="4" w:space="0" w:color="auto"/>
              <w:right w:val="single" w:sz="4" w:space="0" w:color="auto"/>
            </w:tcBorders>
            <w:hideMark/>
          </w:tcPr>
          <w:p w14:paraId="1A9DE390"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536</w:t>
            </w:r>
          </w:p>
        </w:tc>
      </w:tr>
      <w:tr w:rsidR="00660716" w14:paraId="49F555B6" w14:textId="77777777" w:rsidTr="00660716">
        <w:tc>
          <w:tcPr>
            <w:tcW w:w="2836" w:type="dxa"/>
            <w:tcBorders>
              <w:top w:val="single" w:sz="4" w:space="0" w:color="auto"/>
              <w:left w:val="single" w:sz="4" w:space="0" w:color="auto"/>
              <w:bottom w:val="single" w:sz="4" w:space="0" w:color="auto"/>
              <w:right w:val="single" w:sz="4" w:space="0" w:color="auto"/>
            </w:tcBorders>
            <w:hideMark/>
          </w:tcPr>
          <w:p w14:paraId="65126AE0"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4"/>
                <w:szCs w:val="24"/>
              </w:rPr>
            </w:pPr>
            <w:r>
              <w:rPr>
                <w:rFonts w:ascii="Times New Roman" w:eastAsia="Cambria" w:hAnsi="Times New Roman" w:cs="Times New Roman"/>
                <w:sz w:val="24"/>
                <w:szCs w:val="24"/>
              </w:rPr>
              <w:t>Наблюдавани ДПОР</w:t>
            </w:r>
          </w:p>
        </w:tc>
        <w:tc>
          <w:tcPr>
            <w:tcW w:w="2126" w:type="dxa"/>
            <w:tcBorders>
              <w:top w:val="single" w:sz="4" w:space="0" w:color="auto"/>
              <w:left w:val="single" w:sz="4" w:space="0" w:color="auto"/>
              <w:bottom w:val="single" w:sz="4" w:space="0" w:color="auto"/>
              <w:right w:val="single" w:sz="4" w:space="0" w:color="auto"/>
            </w:tcBorders>
            <w:hideMark/>
          </w:tcPr>
          <w:p w14:paraId="0E9AF90E"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4621</w:t>
            </w:r>
          </w:p>
        </w:tc>
        <w:tc>
          <w:tcPr>
            <w:tcW w:w="2126" w:type="dxa"/>
            <w:tcBorders>
              <w:top w:val="single" w:sz="4" w:space="0" w:color="auto"/>
              <w:left w:val="single" w:sz="4" w:space="0" w:color="auto"/>
              <w:bottom w:val="single" w:sz="4" w:space="0" w:color="auto"/>
              <w:right w:val="single" w:sz="4" w:space="0" w:color="auto"/>
            </w:tcBorders>
            <w:hideMark/>
          </w:tcPr>
          <w:p w14:paraId="6A515437"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4359</w:t>
            </w:r>
          </w:p>
        </w:tc>
        <w:tc>
          <w:tcPr>
            <w:tcW w:w="2126" w:type="dxa"/>
            <w:tcBorders>
              <w:top w:val="single" w:sz="4" w:space="0" w:color="auto"/>
              <w:left w:val="single" w:sz="4" w:space="0" w:color="auto"/>
              <w:bottom w:val="single" w:sz="4" w:space="0" w:color="auto"/>
              <w:right w:val="single" w:sz="4" w:space="0" w:color="auto"/>
            </w:tcBorders>
            <w:hideMark/>
          </w:tcPr>
          <w:p w14:paraId="4D18C2C8" w14:textId="77777777" w:rsidR="00660716" w:rsidRDefault="00660716">
            <w:pPr>
              <w:tabs>
                <w:tab w:val="left" w:pos="426"/>
                <w:tab w:val="left" w:pos="720"/>
              </w:tabs>
              <w:suppressAutoHyphens/>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4115</w:t>
            </w:r>
          </w:p>
        </w:tc>
      </w:tr>
    </w:tbl>
    <w:p w14:paraId="63E605E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rPr>
      </w:pPr>
    </w:p>
    <w:p w14:paraId="3699E10D" w14:textId="77777777" w:rsidR="00ED24F6" w:rsidRPr="00ED24F6" w:rsidRDefault="00ED24F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lang w:val="en-US"/>
        </w:rPr>
      </w:pPr>
    </w:p>
    <w:p w14:paraId="0A7D4025"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година водените </w:t>
      </w:r>
      <w:r>
        <w:rPr>
          <w:rFonts w:ascii="Times New Roman" w:eastAsia="Cambria" w:hAnsi="Times New Roman" w:cs="Times New Roman"/>
          <w:sz w:val="28"/>
          <w:szCs w:val="28"/>
          <w:u w:val="single"/>
        </w:rPr>
        <w:t>бързи производства</w:t>
      </w:r>
      <w:r>
        <w:rPr>
          <w:rFonts w:ascii="Times New Roman" w:eastAsia="Cambria" w:hAnsi="Times New Roman" w:cs="Times New Roman"/>
          <w:sz w:val="28"/>
          <w:szCs w:val="28"/>
        </w:rPr>
        <w:t xml:space="preserve">, са 695 /692 новообразувани/ и те са с 64 бр. по-малко или с 8.43%  от водените през 2024 г. – 759 БП и с 159 повече или  22.08 % от водените през 2023 г. – 536 БП. </w:t>
      </w:r>
    </w:p>
    <w:p w14:paraId="02127B0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Относителният дял на новообразуваните бързи производства спрямо общо новообразуваните досъдебни производства е 25,54 %, като през 2024 г. това съотношение е било 26,7%, а  през 2023 г. това съотношение е било 20,8%.</w:t>
      </w:r>
    </w:p>
    <w:p w14:paraId="1A0655C5"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20" w:name="OLE_LINK108"/>
      <w:r>
        <w:rPr>
          <w:rFonts w:ascii="Times New Roman" w:eastAsia="Cambria" w:hAnsi="Times New Roman" w:cs="Times New Roman"/>
          <w:sz w:val="28"/>
          <w:szCs w:val="28"/>
        </w:rPr>
        <w:t xml:space="preserve">Налице  е  намаление на броя на водените бързи производства, образувани по реда на чл. 356 от НПК. </w:t>
      </w:r>
      <w:bookmarkEnd w:id="20"/>
      <w:r>
        <w:rPr>
          <w:rFonts w:ascii="Times New Roman" w:eastAsia="Cambria" w:hAnsi="Times New Roman" w:cs="Times New Roman"/>
          <w:sz w:val="28"/>
          <w:szCs w:val="28"/>
        </w:rPr>
        <w:t>През отчетния период от всички образувани бързи производства, прокурорите са постановили извършване на разследване по общия ред по 430 от тях или 62,14 % от новообразуваните бързи производства за 2025 г.</w:t>
      </w:r>
    </w:p>
    <w:p w14:paraId="00153014"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2025 г. броят на наблюдаваните </w:t>
      </w:r>
      <w:r>
        <w:rPr>
          <w:rFonts w:ascii="Times New Roman" w:eastAsia="Cambria" w:hAnsi="Times New Roman" w:cs="Times New Roman"/>
          <w:sz w:val="28"/>
          <w:szCs w:val="28"/>
          <w:u w:val="single"/>
        </w:rPr>
        <w:t>досъдебни производства, разследвани по общия ред (ДПОР)</w:t>
      </w:r>
      <w:r>
        <w:rPr>
          <w:rFonts w:ascii="Times New Roman" w:eastAsia="Cambria" w:hAnsi="Times New Roman" w:cs="Times New Roman"/>
          <w:sz w:val="28"/>
          <w:szCs w:val="28"/>
        </w:rPr>
        <w:t xml:space="preserve"> е 4621, от които новообразуваните са 2018, като относителният дял на новообразуваните ДПОР спрямо всички новообразувани досъдебни производства е 74,46 %. През 2024 г. това съотношение е било 73,2 %, а през 2023 г. – 79,4 %.</w:t>
      </w:r>
    </w:p>
    <w:p w14:paraId="47E21AA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14:paraId="482532AA" w14:textId="77777777" w:rsidR="00660716" w:rsidRDefault="00660716" w:rsidP="00660716">
      <w:pPr>
        <w:tabs>
          <w:tab w:val="left" w:pos="426"/>
          <w:tab w:val="left" w:pos="720"/>
        </w:tabs>
        <w:suppressAutoHyphens/>
        <w:spacing w:after="0" w:line="240" w:lineRule="auto"/>
        <w:ind w:left="-567" w:right="-427" w:firstLine="567"/>
        <w:jc w:val="center"/>
        <w:rPr>
          <w:rFonts w:ascii="Times New Roman" w:eastAsia="Cambria" w:hAnsi="Times New Roman" w:cs="Times New Roman"/>
          <w:sz w:val="28"/>
          <w:szCs w:val="28"/>
          <w:lang w:val="en-US"/>
        </w:rPr>
      </w:pPr>
      <w:r>
        <w:rPr>
          <w:noProof/>
        </w:rPr>
        <w:lastRenderedPageBreak/>
        <w:drawing>
          <wp:inline distT="0" distB="0" distL="0" distR="0" wp14:anchorId="029955FD" wp14:editId="15B18FDD">
            <wp:extent cx="5001260" cy="2962275"/>
            <wp:effectExtent l="0" t="0" r="8890" b="9525"/>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4747" cy="2964340"/>
                    </a:xfrm>
                    <a:prstGeom prst="rect">
                      <a:avLst/>
                    </a:prstGeom>
                    <a:noFill/>
                    <a:ln>
                      <a:noFill/>
                    </a:ln>
                  </pic:spPr>
                </pic:pic>
              </a:graphicData>
            </a:graphic>
          </wp:inline>
        </w:drawing>
      </w:r>
    </w:p>
    <w:p w14:paraId="56157B7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u w:val="single"/>
        </w:rPr>
      </w:pPr>
    </w:p>
    <w:p w14:paraId="112FABE1"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u w:val="single"/>
        </w:rPr>
        <w:t>По видове разследващи органи</w:t>
      </w:r>
      <w:r>
        <w:rPr>
          <w:rFonts w:ascii="Times New Roman" w:eastAsia="Cambria" w:hAnsi="Times New Roman" w:cs="Times New Roman"/>
          <w:sz w:val="28"/>
          <w:szCs w:val="28"/>
        </w:rPr>
        <w:t>, ДПОР са разследвани както следва:</w:t>
      </w:r>
    </w:p>
    <w:p w14:paraId="6CE18A10"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разследващ полицай са били разследвани общо 4247 ДПОР, чийто относителен дял спрямо всички ДПОР е 91,91 %, от тях 1931 са новообразувани ДПОР или 95.69 %</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от всички новообразувани.</w:t>
      </w:r>
    </w:p>
    <w:p w14:paraId="237A71EA"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следовател са били разследвани общо 349 ДПОР, чийто относителен дял спрямо всички ДПОР е 7,55 %, от тях 82 са новообразувани ДПОР или 4,06% от всички новообразувани.</w:t>
      </w:r>
    </w:p>
    <w:p w14:paraId="2B70D947"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2025 г. броят на възложените дела за разследване от следовател по реда на чл.194, ал.1 т.4 от НПК – 63 досъдебни производства, е увеличен с 18 ДП спрямо 2024г. /45 ДП/ и с 3 ДП спрямо 2023г. /60 ДП/.</w:t>
      </w:r>
    </w:p>
    <w:p w14:paraId="234C4645"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От прокурор са разследвани – 2 ДПОР, от които 1 е </w:t>
      </w:r>
      <w:proofErr w:type="spellStart"/>
      <w:r>
        <w:rPr>
          <w:rFonts w:ascii="Times New Roman" w:eastAsia="Cambria" w:hAnsi="Times New Roman" w:cs="Times New Roman"/>
          <w:sz w:val="28"/>
          <w:szCs w:val="28"/>
        </w:rPr>
        <w:t>новобразувано</w:t>
      </w:r>
      <w:proofErr w:type="spellEnd"/>
      <w:r>
        <w:rPr>
          <w:rFonts w:ascii="Times New Roman" w:eastAsia="Cambria" w:hAnsi="Times New Roman" w:cs="Times New Roman"/>
          <w:sz w:val="28"/>
          <w:szCs w:val="28"/>
        </w:rPr>
        <w:t>..</w:t>
      </w:r>
    </w:p>
    <w:p w14:paraId="403097DD"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разследващ митнически инспектор – 2 ДПОР, и двете образувани в  предходна година.</w:t>
      </w:r>
    </w:p>
    <w:p w14:paraId="233EC81D"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От разследващ инспектор от КПК – 21 ДПОР, от които 4 са новообразувани.</w:t>
      </w:r>
    </w:p>
    <w:p w14:paraId="3A8FB74F"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p>
    <w:p w14:paraId="36782312" w14:textId="77777777" w:rsidR="00660716" w:rsidRDefault="00660716" w:rsidP="00660716">
      <w:pPr>
        <w:tabs>
          <w:tab w:val="left" w:pos="426"/>
        </w:tabs>
        <w:suppressAutoHyphens/>
        <w:spacing w:after="0" w:line="240" w:lineRule="auto"/>
        <w:ind w:left="-567" w:right="-427"/>
        <w:jc w:val="center"/>
        <w:rPr>
          <w:rFonts w:ascii="Times New Roman" w:eastAsia="Cambria" w:hAnsi="Times New Roman" w:cs="Times New Roman"/>
          <w:sz w:val="28"/>
          <w:szCs w:val="28"/>
          <w:lang w:val="en-US"/>
        </w:rPr>
      </w:pPr>
      <w:r>
        <w:rPr>
          <w:noProof/>
        </w:rPr>
        <w:drawing>
          <wp:inline distT="0" distB="0" distL="0" distR="0" wp14:anchorId="27A6DC83" wp14:editId="47010520">
            <wp:extent cx="5759450" cy="3207385"/>
            <wp:effectExtent l="0" t="0" r="0"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207385"/>
                    </a:xfrm>
                    <a:prstGeom prst="rect">
                      <a:avLst/>
                    </a:prstGeom>
                    <a:noFill/>
                    <a:ln>
                      <a:noFill/>
                    </a:ln>
                  </pic:spPr>
                </pic:pic>
              </a:graphicData>
            </a:graphic>
          </wp:inline>
        </w:drawing>
      </w:r>
    </w:p>
    <w:p w14:paraId="39E64D6B" w14:textId="77777777" w:rsidR="00660716" w:rsidRDefault="00660716" w:rsidP="00660716">
      <w:pPr>
        <w:tabs>
          <w:tab w:val="left" w:pos="426"/>
          <w:tab w:val="left" w:pos="720"/>
        </w:tabs>
        <w:suppressAutoHyphens/>
        <w:spacing w:after="0" w:line="240" w:lineRule="auto"/>
        <w:ind w:left="-567" w:right="-427" w:firstLine="567"/>
        <w:jc w:val="center"/>
        <w:rPr>
          <w:rFonts w:ascii="Times New Roman" w:eastAsia="Cambria" w:hAnsi="Times New Roman" w:cs="Times New Roman"/>
          <w:sz w:val="28"/>
          <w:szCs w:val="28"/>
        </w:rPr>
      </w:pPr>
    </w:p>
    <w:p w14:paraId="5334E094"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21" w:name="OLE_LINK109"/>
      <w:r>
        <w:rPr>
          <w:rFonts w:ascii="Times New Roman" w:eastAsia="Cambria" w:hAnsi="Times New Roman" w:cs="Times New Roman"/>
          <w:sz w:val="28"/>
          <w:szCs w:val="28"/>
        </w:rPr>
        <w:t xml:space="preserve">Относно използването капацитета на следователите от </w:t>
      </w:r>
      <w:proofErr w:type="spellStart"/>
      <w:r>
        <w:rPr>
          <w:rFonts w:ascii="Times New Roman" w:eastAsia="Cambria" w:hAnsi="Times New Roman" w:cs="Times New Roman"/>
          <w:sz w:val="28"/>
          <w:szCs w:val="28"/>
        </w:rPr>
        <w:t>ОСлО</w:t>
      </w:r>
      <w:proofErr w:type="spellEnd"/>
      <w:r>
        <w:rPr>
          <w:rFonts w:ascii="Times New Roman" w:eastAsia="Cambria" w:hAnsi="Times New Roman" w:cs="Times New Roman"/>
          <w:sz w:val="28"/>
          <w:szCs w:val="28"/>
        </w:rPr>
        <w:t xml:space="preserve"> при ОП Пазарджик, следва да се отбележи, че </w:t>
      </w:r>
      <w:bookmarkStart w:id="22" w:name="OLE_LINK99"/>
      <w:r>
        <w:rPr>
          <w:rFonts w:ascii="Times New Roman" w:eastAsia="Cambria" w:hAnsi="Times New Roman" w:cs="Times New Roman"/>
          <w:sz w:val="28"/>
          <w:szCs w:val="28"/>
        </w:rPr>
        <w:t>през отчетната година е налице констатация за увеличение в броя на новообразувани производства, разследвани по общия ред от следовател</w:t>
      </w:r>
      <w:bookmarkEnd w:id="22"/>
      <w:r>
        <w:rPr>
          <w:rFonts w:ascii="Times New Roman" w:eastAsia="Cambria" w:hAnsi="Times New Roman" w:cs="Times New Roman"/>
          <w:sz w:val="28"/>
          <w:szCs w:val="28"/>
        </w:rPr>
        <w:t xml:space="preserve">, данните са показани в таблицата: </w:t>
      </w:r>
    </w:p>
    <w:p w14:paraId="2E987E6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noProof/>
        </w:rPr>
        <w:drawing>
          <wp:inline distT="0" distB="0" distL="0" distR="0" wp14:anchorId="3E447C83" wp14:editId="64698F85">
            <wp:extent cx="5759450" cy="4326255"/>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26255"/>
                    </a:xfrm>
                    <a:prstGeom prst="rect">
                      <a:avLst/>
                    </a:prstGeom>
                    <a:noFill/>
                    <a:ln>
                      <a:noFill/>
                    </a:ln>
                  </pic:spPr>
                </pic:pic>
              </a:graphicData>
            </a:graphic>
          </wp:inline>
        </w:drawing>
      </w:r>
    </w:p>
    <w:bookmarkEnd w:id="21"/>
    <w:p w14:paraId="2B354FAB" w14:textId="77777777" w:rsidR="00660716" w:rsidRDefault="00660716" w:rsidP="00660716">
      <w:pPr>
        <w:tabs>
          <w:tab w:val="left" w:pos="426"/>
          <w:tab w:val="left" w:pos="720"/>
        </w:tabs>
        <w:suppressAutoHyphens/>
        <w:spacing w:after="0" w:line="240" w:lineRule="auto"/>
        <w:ind w:left="-567" w:right="-427" w:firstLine="567"/>
        <w:jc w:val="center"/>
        <w:rPr>
          <w:rFonts w:ascii="Times New Roman" w:eastAsia="Cambria" w:hAnsi="Times New Roman" w:cs="Times New Roman"/>
          <w:sz w:val="28"/>
          <w:szCs w:val="28"/>
          <w:lang w:val="en-US"/>
        </w:rPr>
      </w:pPr>
    </w:p>
    <w:p w14:paraId="373E135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14:paraId="63789744"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Като препоръка и за в бъдеще следва да бъде използван по пълноценно капацитета на следователите, чрез възлагането на дела, както от Районна прокуратура Пазарджик, така и от Окръжна прокуратура Пазарджик. Създаването на такава практика ще доведе и до увеличаване натовареността на следователите от една страна, до подобряване качество на разследването от тях.</w:t>
      </w:r>
    </w:p>
    <w:p w14:paraId="2450016B"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FF0000"/>
          <w:sz w:val="28"/>
          <w:szCs w:val="28"/>
        </w:rPr>
      </w:pPr>
    </w:p>
    <w:p w14:paraId="2C53270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bookmarkStart w:id="23" w:name="OLE_LINK11"/>
      <w:r>
        <w:rPr>
          <w:rFonts w:ascii="Times New Roman" w:eastAsia="Cambria" w:hAnsi="Times New Roman" w:cs="Times New Roman"/>
          <w:b/>
          <w:sz w:val="28"/>
          <w:szCs w:val="28"/>
        </w:rPr>
        <w:t>2.2. Срочност на разследване.</w:t>
      </w:r>
    </w:p>
    <w:p w14:paraId="0D0E455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14:paraId="7786DABE"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отчетната 2025 г. в района на Окръжна прокуратура Пазарджик е приключено разследването по общо 2760 досъдебни производства, като същите съставляват 39,87 % от общо наблюдаваните 6923 досъдебни производства. </w:t>
      </w:r>
    </w:p>
    <w:p w14:paraId="0B829773"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2024 г. са приключени 2661 ДП, чийто относителен дял спрямо наблюдаваните 7123 ДП е бил 37.36% </w:t>
      </w:r>
    </w:p>
    <w:p w14:paraId="2BF8C3F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2023 г. са приключени 2588, чийто относителен дял спрямо наблюдаваните 6205 ДП е бил 41,7% . </w:t>
      </w:r>
    </w:p>
    <w:p w14:paraId="01827C2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14:paraId="05E1981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24" w:name="OLE_LINK115"/>
      <w:r>
        <w:rPr>
          <w:rFonts w:ascii="Times New Roman" w:eastAsia="Cambria" w:hAnsi="Times New Roman" w:cs="Times New Roman"/>
          <w:sz w:val="28"/>
          <w:szCs w:val="28"/>
        </w:rPr>
        <w:lastRenderedPageBreak/>
        <w:t xml:space="preserve">През отчетна година, в сравнение с предходната 2024 г., се наблюдава увеличение на относителния дял на приключилите досъдебни производства, спрямо общо наблюдаваните и намаление спрямо приключените през 2023 год. </w:t>
      </w:r>
    </w:p>
    <w:bookmarkEnd w:id="24"/>
    <w:p w14:paraId="3A94A5D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2025 г. всички досъдебни производства са приключили в законов срок на разследване</w:t>
      </w:r>
      <w:r>
        <w:rPr>
          <w:rFonts w:ascii="Times New Roman" w:eastAsia="Cambria" w:hAnsi="Times New Roman" w:cs="Times New Roman"/>
          <w:color w:val="000000" w:themeColor="text1"/>
          <w:sz w:val="28"/>
          <w:szCs w:val="28"/>
        </w:rPr>
        <w:t xml:space="preserve">. </w:t>
      </w:r>
    </w:p>
    <w:p w14:paraId="73AAF543"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В края на 2025 г. неприключени са 1887 досъдебни производства, като всички са</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 xml:space="preserve">в законов срок на разследване. </w:t>
      </w:r>
    </w:p>
    <w:p w14:paraId="0090093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sz w:val="28"/>
          <w:szCs w:val="28"/>
        </w:rPr>
      </w:pPr>
    </w:p>
    <w:tbl>
      <w:tblPr>
        <w:tblW w:w="9366" w:type="dxa"/>
        <w:tblInd w:w="-176" w:type="dxa"/>
        <w:tblCellMar>
          <w:left w:w="10" w:type="dxa"/>
          <w:right w:w="10" w:type="dxa"/>
        </w:tblCellMar>
        <w:tblLook w:val="04A0" w:firstRow="1" w:lastRow="0" w:firstColumn="1" w:lastColumn="0" w:noHBand="0" w:noVBand="1"/>
      </w:tblPr>
      <w:tblGrid>
        <w:gridCol w:w="4761"/>
        <w:gridCol w:w="1535"/>
        <w:gridCol w:w="1535"/>
        <w:gridCol w:w="1535"/>
      </w:tblGrid>
      <w:tr w:rsidR="00660716" w14:paraId="29811CCF" w14:textId="77777777" w:rsidTr="00660716">
        <w:trPr>
          <w:trHeight w:val="1"/>
        </w:trPr>
        <w:tc>
          <w:tcPr>
            <w:tcW w:w="47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14:paraId="30BE892E"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Показатели</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8A16967"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2025 г.</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3556289"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2024 г.</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7DB1CFE2"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   2023 г.</w:t>
            </w:r>
          </w:p>
        </w:tc>
      </w:tr>
      <w:tr w:rsidR="00660716" w14:paraId="03161253" w14:textId="77777777" w:rsidTr="00660716">
        <w:trPr>
          <w:trHeight w:val="1"/>
        </w:trPr>
        <w:tc>
          <w:tcPr>
            <w:tcW w:w="4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3B023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Приключени ДП</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7D01F9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2760</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657CAA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2661</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1054AD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2588</w:t>
            </w:r>
          </w:p>
        </w:tc>
      </w:tr>
      <w:tr w:rsidR="00660716" w14:paraId="77F2A815" w14:textId="77777777" w:rsidTr="00660716">
        <w:trPr>
          <w:trHeight w:val="1"/>
        </w:trPr>
        <w:tc>
          <w:tcPr>
            <w:tcW w:w="4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C9AE4E"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Приключени в законов срок</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430A9FF" w14:textId="77777777" w:rsidR="00660716" w:rsidRDefault="00660716">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2760</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9F68D4B" w14:textId="77777777" w:rsidR="00660716" w:rsidRDefault="00660716">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2661</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32977866" w14:textId="77777777" w:rsidR="00660716" w:rsidRDefault="00660716">
            <w:pPr>
              <w:pStyle w:val="a4"/>
              <w:tabs>
                <w:tab w:val="left" w:pos="426"/>
              </w:tabs>
              <w:spacing w:line="276" w:lineRule="auto"/>
              <w:ind w:left="-567" w:right="-427" w:firstLine="567"/>
              <w:rPr>
                <w:rFonts w:ascii="Times New Roman" w:eastAsia="Calibri" w:hAnsi="Times New Roman" w:cs="Times New Roman"/>
                <w:color w:val="000000" w:themeColor="text1"/>
                <w:lang w:eastAsia="en-US"/>
              </w:rPr>
            </w:pPr>
            <w:r>
              <w:rPr>
                <w:rFonts w:ascii="Times New Roman" w:eastAsia="Calibri" w:hAnsi="Times New Roman" w:cs="Times New Roman"/>
                <w:color w:val="000000" w:themeColor="text1"/>
                <w:lang w:eastAsia="en-US"/>
              </w:rPr>
              <w:t xml:space="preserve">   2588</w:t>
            </w:r>
          </w:p>
        </w:tc>
      </w:tr>
      <w:tr w:rsidR="00660716" w14:paraId="5E01F4B2" w14:textId="77777777" w:rsidTr="00660716">
        <w:trPr>
          <w:trHeight w:val="1"/>
        </w:trPr>
        <w:tc>
          <w:tcPr>
            <w:tcW w:w="4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27355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Приключени извън законов срок</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35893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ADD070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C6446E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0</w:t>
            </w:r>
          </w:p>
        </w:tc>
      </w:tr>
      <w:tr w:rsidR="00660716" w14:paraId="23D906AB" w14:textId="77777777" w:rsidTr="00660716">
        <w:trPr>
          <w:trHeight w:val="1"/>
        </w:trPr>
        <w:tc>
          <w:tcPr>
            <w:tcW w:w="4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15419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Неприключени ДП</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681C0B4"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1887</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5ACA8F7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1734</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7EF569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1509</w:t>
            </w:r>
          </w:p>
        </w:tc>
      </w:tr>
      <w:tr w:rsidR="00660716" w14:paraId="376DC718" w14:textId="77777777" w:rsidTr="00660716">
        <w:trPr>
          <w:trHeight w:val="48"/>
        </w:trPr>
        <w:tc>
          <w:tcPr>
            <w:tcW w:w="4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E1899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Неприключени в законов срок</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02692E6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1887</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826854E"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1734</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8D4D14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1509</w:t>
            </w:r>
          </w:p>
        </w:tc>
      </w:tr>
      <w:tr w:rsidR="00660716" w14:paraId="21012788" w14:textId="77777777" w:rsidTr="00660716">
        <w:trPr>
          <w:trHeight w:val="1"/>
        </w:trPr>
        <w:tc>
          <w:tcPr>
            <w:tcW w:w="47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7BBAF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Неприключени извън законов срок</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6ABF4D2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47FF7AF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53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2F1DB04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0</w:t>
            </w:r>
          </w:p>
        </w:tc>
      </w:tr>
    </w:tbl>
    <w:p w14:paraId="445650AA"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bookmarkStart w:id="25" w:name="OLE_LINK89"/>
      <w:bookmarkEnd w:id="23"/>
    </w:p>
    <w:p w14:paraId="3E6175CE"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p w14:paraId="3BF136D4"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2.3. Решени досъдебни производства от прокурор. Видове решения.</w:t>
      </w:r>
    </w:p>
    <w:p w14:paraId="2FD1386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color w:val="000000" w:themeColor="text1"/>
          <w:sz w:val="28"/>
          <w:szCs w:val="28"/>
        </w:rPr>
      </w:pPr>
    </w:p>
    <w:p w14:paraId="086ED6DD"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През 2025 г. общо решените от прокурорите досъдебни производства в региона на Окръжна прокуратура Пазарджик са 4902 бр.</w:t>
      </w:r>
    </w:p>
    <w:p w14:paraId="1F359C4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През предходната 2024 год. общо решените ДП са 5253 бр.</w:t>
      </w:r>
    </w:p>
    <w:p w14:paraId="66B907EA"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През 2023 г. са били </w:t>
      </w:r>
      <w:r>
        <w:rPr>
          <w:rFonts w:ascii="Times New Roman" w:eastAsia="Calibri" w:hAnsi="Times New Roman" w:cs="Times New Roman"/>
          <w:color w:val="000000" w:themeColor="text1"/>
          <w:sz w:val="28"/>
          <w:szCs w:val="28"/>
        </w:rPr>
        <w:t xml:space="preserve">4527 </w:t>
      </w:r>
      <w:r>
        <w:rPr>
          <w:rFonts w:ascii="Times New Roman" w:eastAsia="Cambria" w:hAnsi="Times New Roman" w:cs="Times New Roman"/>
          <w:color w:val="000000" w:themeColor="text1"/>
          <w:sz w:val="28"/>
          <w:szCs w:val="28"/>
        </w:rPr>
        <w:t xml:space="preserve">ДП. Налице е намаление с 351 бр. спрямо 2024 год. и увеличение с 375 бр. спрямо 2023 год. </w:t>
      </w:r>
    </w:p>
    <w:p w14:paraId="637177B8"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И през настоящата отчетна година, както и през предходните две, прокурорите от региона на Окръжна прокуратура Пазарджик са работили при висока средна натовареност. </w:t>
      </w:r>
    </w:p>
    <w:p w14:paraId="130AB44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26" w:name="OLE_LINK80"/>
      <w:bookmarkStart w:id="27" w:name="OLE_LINK79"/>
      <w:r>
        <w:rPr>
          <w:rFonts w:ascii="Times New Roman" w:eastAsia="Cambria" w:hAnsi="Times New Roman" w:cs="Times New Roman"/>
          <w:sz w:val="28"/>
          <w:szCs w:val="28"/>
        </w:rPr>
        <w:t>През отчетната 2025 год. относителният дял на решените от прокурорите 4902 досъдебни производства спрямо общо наблюдаваните - 6923 досъдебни производства е 70.81 %.</w:t>
      </w:r>
    </w:p>
    <w:p w14:paraId="1CB2A08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2024 г. относителният дял на решените от прокурорите 5253 досъдебни производства спрямо общо наблюдаваните – 7123 досъдебни производства е 73,7%. </w:t>
      </w:r>
      <w:bookmarkEnd w:id="26"/>
      <w:bookmarkEnd w:id="27"/>
    </w:p>
    <w:p w14:paraId="0BC4E5E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2023 г. относителният дял на решените от прокурорите 4527 досъдебни производства спрямо общо наблюдаваните - 6205 досъдебни производства е 73 %.    </w:t>
      </w:r>
    </w:p>
    <w:p w14:paraId="1BB4DC1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tbl>
      <w:tblPr>
        <w:tblpPr w:leftFromText="141" w:rightFromText="141" w:bottomFromText="200" w:vertAnchor="text" w:tblpXSpec="center" w:tblpY="1"/>
        <w:tblOverlap w:val="never"/>
        <w:tblW w:w="9180" w:type="dxa"/>
        <w:tblCellMar>
          <w:left w:w="10" w:type="dxa"/>
          <w:right w:w="10" w:type="dxa"/>
        </w:tblCellMar>
        <w:tblLook w:val="04A0" w:firstRow="1" w:lastRow="0" w:firstColumn="1" w:lastColumn="0" w:noHBand="0" w:noVBand="1"/>
      </w:tblPr>
      <w:tblGrid>
        <w:gridCol w:w="1951"/>
        <w:gridCol w:w="2268"/>
        <w:gridCol w:w="2268"/>
        <w:gridCol w:w="2693"/>
      </w:tblGrid>
      <w:tr w:rsidR="00660716" w14:paraId="2BC797A6" w14:textId="77777777" w:rsidTr="00660716">
        <w:trPr>
          <w:trHeight w:val="952"/>
        </w:trPr>
        <w:tc>
          <w:tcPr>
            <w:tcW w:w="19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14:paraId="046BF39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Година</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C6B9E4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Наблюдавани ДП</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07A4B24A"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Решени ДП</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4586AD7"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 xml:space="preserve">Относителен дял </w:t>
            </w:r>
          </w:p>
          <w:p w14:paraId="5F07AF84"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 xml:space="preserve">на решените </w:t>
            </w:r>
          </w:p>
          <w:p w14:paraId="44E54CFE"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спрямо наблюдаваните</w:t>
            </w:r>
          </w:p>
        </w:tc>
      </w:tr>
      <w:tr w:rsidR="00660716" w14:paraId="1DC551C7" w14:textId="77777777" w:rsidTr="00660716">
        <w:trPr>
          <w:trHeight w:val="446"/>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31179F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2025 г.</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0800D0E"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6923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B81D19C"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 xml:space="preserve"> 4902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E5353DE"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70.81%</w:t>
            </w:r>
          </w:p>
        </w:tc>
      </w:tr>
      <w:tr w:rsidR="00660716" w14:paraId="257DF263" w14:textId="77777777" w:rsidTr="00660716">
        <w:trPr>
          <w:trHeight w:val="446"/>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5DF08E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2024 г.</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643B16"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7123</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3BA04C"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5253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2814D44"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73,7%</w:t>
            </w:r>
          </w:p>
        </w:tc>
      </w:tr>
      <w:tr w:rsidR="00660716" w14:paraId="0D9F771E" w14:textId="77777777" w:rsidTr="00660716">
        <w:trPr>
          <w:trHeight w:val="446"/>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BC87AC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2023 г.</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51B3B0D"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6205</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0B526E3"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4527</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0A178AE" w14:textId="77777777" w:rsidR="00660716" w:rsidRDefault="00660716">
            <w:pPr>
              <w:pStyle w:val="a4"/>
              <w:tabs>
                <w:tab w:val="left" w:pos="426"/>
              </w:tabs>
              <w:spacing w:line="276" w:lineRule="auto"/>
              <w:ind w:left="-567" w:right="-427" w:firstLine="699"/>
              <w:rPr>
                <w:rFonts w:ascii="Times New Roman" w:eastAsia="Calibri" w:hAnsi="Times New Roman" w:cs="Times New Roman"/>
                <w:lang w:eastAsia="en-US"/>
              </w:rPr>
            </w:pPr>
            <w:r>
              <w:rPr>
                <w:rFonts w:ascii="Times New Roman" w:eastAsia="Calibri" w:hAnsi="Times New Roman" w:cs="Times New Roman"/>
                <w:lang w:eastAsia="en-US"/>
              </w:rPr>
              <w:t>73%</w:t>
            </w:r>
          </w:p>
        </w:tc>
      </w:tr>
    </w:tbl>
    <w:p w14:paraId="39A978EA" w14:textId="77777777" w:rsidR="00660716" w:rsidRDefault="00660716" w:rsidP="00660716">
      <w:pPr>
        <w:tabs>
          <w:tab w:val="left" w:pos="426"/>
          <w:tab w:val="left" w:pos="567"/>
          <w:tab w:val="left" w:pos="720"/>
          <w:tab w:val="left" w:pos="851"/>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По отношение срочността, през 2025 г. прокурорите са се произнесли с краен прокурорски акт, в едномесечен срок по 4678 досъдебни производства.</w:t>
      </w:r>
    </w:p>
    <w:p w14:paraId="359079A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Досъдебни производства решени над 1 месец, без удължаване на срока от административния ръководител или от оправомощен от него прокурор - няма . </w:t>
      </w:r>
    </w:p>
    <w:p w14:paraId="0297006A"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 xml:space="preserve">До 2 месеца - с удължен срок от административния ръководител или от оправомощен от него прокурор са решени общо 224 досъдебни производства. </w:t>
      </w:r>
    </w:p>
    <w:p w14:paraId="75F79DB3"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Досъдебни производства решени в срок над 2 месеца – няма.</w:t>
      </w:r>
    </w:p>
    <w:p w14:paraId="3769C8E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bookmarkStart w:id="28" w:name="OLE_LINK116"/>
      <w:r>
        <w:rPr>
          <w:rFonts w:ascii="Times New Roman" w:eastAsia="Cambria" w:hAnsi="Times New Roman" w:cs="Times New Roman"/>
          <w:color w:val="000000" w:themeColor="text1"/>
          <w:sz w:val="28"/>
          <w:szCs w:val="28"/>
        </w:rPr>
        <w:t>За сравнение през 2024 год. няма решени извън установения срок, а през 2023г.  решени  извън законоустановения срок са били 3 ДП.</w:t>
      </w:r>
    </w:p>
    <w:p w14:paraId="704D0D7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 xml:space="preserve">Анализът на данните сочи, че е налице един положителен показател в работата на прокурорите – при тенденция на запазване </w:t>
      </w:r>
      <w:r>
        <w:rPr>
          <w:rFonts w:ascii="Times New Roman" w:eastAsia="Cambria" w:hAnsi="Times New Roman" w:cs="Times New Roman"/>
          <w:sz w:val="28"/>
          <w:szCs w:val="28"/>
        </w:rPr>
        <w:t xml:space="preserve">на броя на наблюдаваните и решените дела спрямо предходните две години  през 2025 г.  няма  решени ДП  извън законоустановения срок. Този показател е положителен както за работата на прокурорите, така и за тяхната ефективност и допринася за оптимизиране на разследванията и приключването на дела. </w:t>
      </w:r>
    </w:p>
    <w:bookmarkEnd w:id="28"/>
    <w:p w14:paraId="570AC6B4"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Нерешени досъдебни производства в края на отчетния период, останали за решаване при прокурор са 134 досъдебни производства, при 136 за 2024 год. и 169 за 2023 г. От тях 118 досъдебни производства са в срок до 1 месец, над 1 месец  без удължаване на срока от административния ръководител  или от оправомощен от него прокурор – няма, до 2 месеца - с удължен срок от административния ръководител или оправомощен от него прокурор – 16 /от тях 4 за ОП Пазарджик и 12 за РП  Пазарджик/,  над 2 месеца -  няма.</w:t>
      </w:r>
    </w:p>
    <w:p w14:paraId="5375C905"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Няма внесени искания за ускоряване на ДП по чл. 368 НПК. През 2024 г. е имало 1 такова искане, което е било отхвърлено.</w:t>
      </w:r>
    </w:p>
    <w:p w14:paraId="68ADB8A7"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Общият брой на </w:t>
      </w:r>
      <w:r>
        <w:rPr>
          <w:rFonts w:ascii="Times New Roman" w:eastAsia="Cambria" w:hAnsi="Times New Roman" w:cs="Times New Roman"/>
          <w:b/>
          <w:sz w:val="28"/>
          <w:szCs w:val="28"/>
        </w:rPr>
        <w:t>внесените в съда досъдебни производства и прекратените досъдебни производства</w:t>
      </w:r>
      <w:r>
        <w:rPr>
          <w:rFonts w:ascii="Times New Roman" w:eastAsia="Cambria" w:hAnsi="Times New Roman" w:cs="Times New Roman"/>
          <w:sz w:val="28"/>
          <w:szCs w:val="28"/>
        </w:rPr>
        <w:t xml:space="preserve"> /без прекратените по давност/ през отчетния период е 1935. През 2024 год. този брой е бил 1821, а през 2023 г. - 1799.  Продължителността на досъдебната фаза при тях, считано от образуването на досъдебни производства до решаването им по същество от прокурора е както следва:</w:t>
      </w:r>
    </w:p>
    <w:p w14:paraId="6B91D7D3"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tbl>
      <w:tblPr>
        <w:tblW w:w="9704" w:type="dxa"/>
        <w:jc w:val="center"/>
        <w:tblCellMar>
          <w:left w:w="10" w:type="dxa"/>
          <w:right w:w="10" w:type="dxa"/>
        </w:tblCellMar>
        <w:tblLook w:val="04A0" w:firstRow="1" w:lastRow="0" w:firstColumn="1" w:lastColumn="0" w:noHBand="0" w:noVBand="1"/>
      </w:tblPr>
      <w:tblGrid>
        <w:gridCol w:w="1154"/>
        <w:gridCol w:w="2321"/>
        <w:gridCol w:w="2125"/>
        <w:gridCol w:w="2181"/>
        <w:gridCol w:w="1923"/>
      </w:tblGrid>
      <w:tr w:rsidR="00660716" w14:paraId="7E636D80" w14:textId="77777777" w:rsidTr="00660716">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tcPr>
          <w:p w14:paraId="5511AED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p>
        </w:tc>
        <w:tc>
          <w:tcPr>
            <w:tcW w:w="232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226D4B3E"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До 8 месеца</w:t>
            </w:r>
          </w:p>
        </w:tc>
        <w:tc>
          <w:tcPr>
            <w:tcW w:w="2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55EC5AE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До 1 година</w:t>
            </w:r>
          </w:p>
        </w:tc>
        <w:tc>
          <w:tcPr>
            <w:tcW w:w="218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hideMark/>
          </w:tcPr>
          <w:p w14:paraId="6767E71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Над 1 година</w:t>
            </w:r>
          </w:p>
        </w:tc>
        <w:tc>
          <w:tcPr>
            <w:tcW w:w="19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hideMark/>
          </w:tcPr>
          <w:p w14:paraId="18187C4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b/>
                <w:lang w:eastAsia="en-US"/>
              </w:rPr>
              <w:t xml:space="preserve">  Над 2 години</w:t>
            </w:r>
          </w:p>
        </w:tc>
      </w:tr>
      <w:tr w:rsidR="00660716" w14:paraId="36857E1A" w14:textId="77777777" w:rsidTr="00660716">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CC7E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2025 г.</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3EB5D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1208 или 62,43 %</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D23A9E"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390 или 20,16%</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1F868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218 или 11.27%</w:t>
            </w:r>
          </w:p>
        </w:tc>
        <w:tc>
          <w:tcPr>
            <w:tcW w:w="1923" w:type="dxa"/>
            <w:tcBorders>
              <w:top w:val="single" w:sz="4" w:space="0" w:color="000000"/>
              <w:left w:val="single" w:sz="4" w:space="0" w:color="000000"/>
              <w:bottom w:val="single" w:sz="4" w:space="0" w:color="000000"/>
              <w:right w:val="single" w:sz="4" w:space="0" w:color="000000"/>
            </w:tcBorders>
            <w:shd w:val="clear" w:color="auto" w:fill="FFFFFF"/>
            <w:hideMark/>
          </w:tcPr>
          <w:p w14:paraId="7F77EB29"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60 или 3.1%</w:t>
            </w:r>
          </w:p>
        </w:tc>
      </w:tr>
      <w:tr w:rsidR="00660716" w14:paraId="5918753C" w14:textId="77777777" w:rsidTr="00660716">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438F2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2024 г.</w:t>
            </w:r>
          </w:p>
        </w:tc>
        <w:tc>
          <w:tcPr>
            <w:tcW w:w="23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D8821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1328 или 72,9 %</w:t>
            </w:r>
          </w:p>
        </w:tc>
        <w:tc>
          <w:tcPr>
            <w:tcW w:w="21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04B1C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229 или 12,5%</w:t>
            </w:r>
          </w:p>
        </w:tc>
        <w:tc>
          <w:tcPr>
            <w:tcW w:w="21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2438C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152 или 8,3 %</w:t>
            </w:r>
          </w:p>
        </w:tc>
        <w:tc>
          <w:tcPr>
            <w:tcW w:w="1923" w:type="dxa"/>
            <w:tcBorders>
              <w:top w:val="single" w:sz="4" w:space="0" w:color="000000"/>
              <w:left w:val="single" w:sz="4" w:space="0" w:color="000000"/>
              <w:bottom w:val="single" w:sz="4" w:space="0" w:color="000000"/>
              <w:right w:val="single" w:sz="4" w:space="0" w:color="000000"/>
            </w:tcBorders>
            <w:shd w:val="clear" w:color="auto" w:fill="FFFFFF"/>
            <w:hideMark/>
          </w:tcPr>
          <w:p w14:paraId="6CA38B0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112 или 6,1%</w:t>
            </w:r>
          </w:p>
        </w:tc>
      </w:tr>
      <w:tr w:rsidR="00660716" w14:paraId="6D53A1BD" w14:textId="77777777" w:rsidTr="00660716">
        <w:trP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1A5670E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2023 г.</w:t>
            </w:r>
          </w:p>
        </w:tc>
        <w:tc>
          <w:tcPr>
            <w:tcW w:w="232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01368CF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1196 или 66,4 %</w:t>
            </w:r>
          </w:p>
        </w:tc>
        <w:tc>
          <w:tcPr>
            <w:tcW w:w="21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4CB806E"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271 или 15%</w:t>
            </w:r>
          </w:p>
        </w:tc>
        <w:tc>
          <w:tcPr>
            <w:tcW w:w="218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2E0AD07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200 или  11,1%</w:t>
            </w:r>
          </w:p>
        </w:tc>
        <w:tc>
          <w:tcPr>
            <w:tcW w:w="1923" w:type="dxa"/>
            <w:tcBorders>
              <w:top w:val="single" w:sz="4" w:space="0" w:color="000000"/>
              <w:left w:val="single" w:sz="4" w:space="0" w:color="000000"/>
              <w:bottom w:val="single" w:sz="4" w:space="0" w:color="000000"/>
              <w:right w:val="single" w:sz="4" w:space="0" w:color="000000"/>
            </w:tcBorders>
            <w:shd w:val="clear" w:color="auto" w:fill="D9D9D9"/>
            <w:hideMark/>
          </w:tcPr>
          <w:p w14:paraId="6FECDFD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132 или 7,3%</w:t>
            </w:r>
          </w:p>
        </w:tc>
      </w:tr>
    </w:tbl>
    <w:p w14:paraId="3C70D076" w14:textId="77777777" w:rsidR="00660716" w:rsidRDefault="00660716" w:rsidP="00660716">
      <w:pPr>
        <w:tabs>
          <w:tab w:val="left" w:pos="426"/>
          <w:tab w:val="left" w:pos="709"/>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           </w:t>
      </w:r>
    </w:p>
    <w:p w14:paraId="4EFA21FF" w14:textId="77777777" w:rsidR="00660716" w:rsidRDefault="00660716" w:rsidP="00660716">
      <w:pPr>
        <w:pStyle w:val="a4"/>
        <w:tabs>
          <w:tab w:val="left" w:pos="426"/>
        </w:tabs>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През 2025 г. досъдебните производства, при които продължителността на досъдебната фаза е до 8 месеца – 1208 ДП представляват 62,43% от общо приключените и </w:t>
      </w:r>
      <w:r>
        <w:rPr>
          <w:rFonts w:ascii="Times New Roman" w:eastAsia="Cambria" w:hAnsi="Times New Roman" w:cs="Times New Roman"/>
          <w:sz w:val="28"/>
          <w:szCs w:val="28"/>
        </w:rPr>
        <w:t>внесени в съд и прекратени досъдебни производства /без прекратените по давност/</w:t>
      </w:r>
      <w:r>
        <w:rPr>
          <w:rFonts w:ascii="Times New Roman" w:eastAsia="Times New Roman" w:hAnsi="Times New Roman" w:cs="Times New Roman"/>
          <w:sz w:val="28"/>
          <w:szCs w:val="28"/>
          <w:lang w:bidi="bg-BG"/>
        </w:rPr>
        <w:t xml:space="preserve">, при 72.9 % за 2024 год. и 66,4% за 2023г. т. е. наблюдава се тенденция  за намаляване на относителния дял на делата, приключени в срок до 8 месеца. </w:t>
      </w:r>
    </w:p>
    <w:p w14:paraId="6CF71963" w14:textId="77777777" w:rsidR="00660716" w:rsidRDefault="00660716" w:rsidP="00660716">
      <w:pPr>
        <w:tabs>
          <w:tab w:val="left" w:pos="284"/>
          <w:tab w:val="left" w:pos="426"/>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През отчетната година се наблюдава  намаление с над 50 % на  относителния дял на досъдебни производства, при които продължителността на досъдебната фаза е над 2 години – общо 60 ДП, от които 49 дела наблюдавани от РП Пазарджик и 11 дела наблюдавани от ОП Пазарджик. Тази положителна  тенденция следва да се  продължи през настоящата 2026 г. с цел осигуряване и гарантиране на по – бързо и ефективно правораздаване. </w:t>
      </w:r>
    </w:p>
    <w:p w14:paraId="455235C4" w14:textId="77777777" w:rsidR="00660716" w:rsidRDefault="00660716" w:rsidP="00660716">
      <w:pPr>
        <w:tabs>
          <w:tab w:val="left" w:pos="426"/>
          <w:tab w:val="left" w:pos="851"/>
        </w:tabs>
        <w:spacing w:after="0" w:line="240" w:lineRule="auto"/>
        <w:ind w:left="-567" w:right="-427" w:firstLine="567"/>
        <w:jc w:val="both"/>
        <w:rPr>
          <w:rFonts w:ascii="Times New Roman" w:eastAsia="Cambria" w:hAnsi="Times New Roman" w:cs="Times New Roman"/>
          <w:b/>
          <w:sz w:val="28"/>
          <w:szCs w:val="28"/>
        </w:rPr>
      </w:pPr>
    </w:p>
    <w:p w14:paraId="2BD9F0B0" w14:textId="77777777" w:rsidR="00660716" w:rsidRDefault="00660716" w:rsidP="00660716">
      <w:pPr>
        <w:tabs>
          <w:tab w:val="left" w:pos="426"/>
          <w:tab w:val="left" w:pos="851"/>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b/>
          <w:sz w:val="28"/>
          <w:szCs w:val="28"/>
        </w:rPr>
        <w:lastRenderedPageBreak/>
        <w:t>Прекратените досъдебни производства</w:t>
      </w:r>
      <w:r>
        <w:rPr>
          <w:rFonts w:ascii="Times New Roman" w:eastAsia="Cambria" w:hAnsi="Times New Roman" w:cs="Times New Roman"/>
          <w:sz w:val="28"/>
          <w:szCs w:val="28"/>
        </w:rPr>
        <w:t xml:space="preserve"> /вкл. по давност/ през 2025 г. са 3183, което представлява 64.93 % от всички решени досъдебни производства. През 2024 год. сте са били 3482, което представлява 66,2% от всички решени ДП. През 2023 г. те са били 2860, което представлява 63,1 % от всички решени досъдебни производства. </w:t>
      </w:r>
      <w:bookmarkEnd w:id="25"/>
    </w:p>
    <w:p w14:paraId="62F35ACA" w14:textId="77777777" w:rsidR="00660716" w:rsidRDefault="00660716" w:rsidP="00660716">
      <w:pPr>
        <w:tabs>
          <w:tab w:val="left" w:pos="426"/>
          <w:tab w:val="left" w:pos="851"/>
        </w:tabs>
        <w:spacing w:after="0" w:line="240" w:lineRule="auto"/>
        <w:ind w:left="-567" w:right="-427" w:firstLine="567"/>
        <w:jc w:val="both"/>
        <w:rPr>
          <w:rFonts w:ascii="Times New Roman" w:eastAsia="Cambria" w:hAnsi="Times New Roman" w:cs="Times New Roman"/>
          <w:sz w:val="28"/>
          <w:szCs w:val="28"/>
        </w:rPr>
      </w:pPr>
    </w:p>
    <w:p w14:paraId="2CEEE2D5" w14:textId="77777777" w:rsidR="00660716" w:rsidRDefault="00660716" w:rsidP="00660716">
      <w:pPr>
        <w:tabs>
          <w:tab w:val="left" w:pos="426"/>
          <w:tab w:val="left" w:pos="851"/>
        </w:tabs>
        <w:spacing w:after="0" w:line="240" w:lineRule="auto"/>
        <w:ind w:left="-567" w:right="-427" w:firstLine="567"/>
        <w:jc w:val="both"/>
        <w:rPr>
          <w:rFonts w:ascii="Times New Roman" w:eastAsia="Cambria" w:hAnsi="Times New Roman" w:cs="Times New Roman"/>
          <w:sz w:val="28"/>
          <w:szCs w:val="28"/>
        </w:rPr>
      </w:pPr>
      <w:r>
        <w:rPr>
          <w:noProof/>
        </w:rPr>
        <w:drawing>
          <wp:inline distT="0" distB="0" distL="0" distR="0" wp14:anchorId="69E6A6A5" wp14:editId="5093FD5A">
            <wp:extent cx="5752465" cy="3350260"/>
            <wp:effectExtent l="0" t="0" r="635" b="254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2465" cy="3350260"/>
                    </a:xfrm>
                    <a:prstGeom prst="rect">
                      <a:avLst/>
                    </a:prstGeom>
                    <a:noFill/>
                    <a:ln>
                      <a:noFill/>
                    </a:ln>
                  </pic:spPr>
                </pic:pic>
              </a:graphicData>
            </a:graphic>
          </wp:inline>
        </w:drawing>
      </w:r>
    </w:p>
    <w:p w14:paraId="6380CAFC" w14:textId="77777777" w:rsidR="00660716" w:rsidRDefault="00660716" w:rsidP="00660716">
      <w:pPr>
        <w:tabs>
          <w:tab w:val="left" w:pos="426"/>
          <w:tab w:val="left" w:pos="851"/>
        </w:tabs>
        <w:spacing w:after="0" w:line="240" w:lineRule="auto"/>
        <w:ind w:left="-567" w:right="-427" w:firstLine="567"/>
        <w:jc w:val="center"/>
        <w:rPr>
          <w:rFonts w:ascii="Times New Roman" w:eastAsia="Cambria" w:hAnsi="Times New Roman" w:cs="Times New Roman"/>
          <w:sz w:val="28"/>
          <w:szCs w:val="28"/>
          <w:lang w:val="en-US"/>
        </w:rPr>
      </w:pPr>
    </w:p>
    <w:p w14:paraId="5EF81BE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14:paraId="6F54795C"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29" w:name="OLE_LINK34"/>
      <w:r>
        <w:rPr>
          <w:rFonts w:ascii="Times New Roman" w:eastAsia="Cambria" w:hAnsi="Times New Roman" w:cs="Times New Roman"/>
          <w:sz w:val="28"/>
          <w:szCs w:val="28"/>
        </w:rPr>
        <w:t xml:space="preserve">Поради изтекла погасителна давност, през 2025 год. прекратените досъдебни производства са 2037 или 63.81% от всички прекратени през годината досъдебни производства. </w:t>
      </w:r>
    </w:p>
    <w:p w14:paraId="16C0C0F3"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2024 год. са 2483 или 71,3 % от всички прекратени през годината, а през 2023 г. са 1856 или 64,8 % от всички прекратени през годината досъдебни производства.</w:t>
      </w:r>
    </w:p>
    <w:p w14:paraId="7BB6EDEF" w14:textId="77777777" w:rsidR="00660716" w:rsidRDefault="00660716" w:rsidP="00660716">
      <w:pPr>
        <w:tabs>
          <w:tab w:val="left" w:pos="426"/>
          <w:tab w:val="left" w:pos="567"/>
          <w:tab w:val="left" w:pos="709"/>
          <w:tab w:val="left" w:pos="851"/>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Анализът на цифрите сочи, че </w:t>
      </w:r>
      <w:bookmarkStart w:id="30" w:name="OLE_LINK121"/>
      <w:r>
        <w:rPr>
          <w:rFonts w:ascii="Times New Roman" w:eastAsia="Cambria" w:hAnsi="Times New Roman" w:cs="Times New Roman"/>
          <w:sz w:val="28"/>
          <w:szCs w:val="28"/>
        </w:rPr>
        <w:t xml:space="preserve">по – големият брой прекратени наказателни производства през отчетния период се дължи на изтичане на предвидената в закона давност по делата. Причината за относително големия брой дела, прекратени по давност е, че същите са се водили срещу неизвестен извършител, останал неразкрит от органите на МВР. </w:t>
      </w:r>
      <w:bookmarkEnd w:id="30"/>
    </w:p>
    <w:bookmarkEnd w:id="29"/>
    <w:p w14:paraId="33D2EADA" w14:textId="77777777" w:rsidR="00660716" w:rsidRDefault="00660716" w:rsidP="00660716">
      <w:pPr>
        <w:tabs>
          <w:tab w:val="left" w:pos="426"/>
          <w:tab w:val="left" w:pos="567"/>
          <w:tab w:val="left" w:pos="709"/>
          <w:tab w:val="left" w:pos="851"/>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ab/>
      </w:r>
    </w:p>
    <w:p w14:paraId="3D887EF1"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bookmarkStart w:id="31" w:name="OLE_LINK82"/>
      <w:r>
        <w:rPr>
          <w:rFonts w:ascii="Times New Roman" w:eastAsia="Cambria" w:hAnsi="Times New Roman" w:cs="Times New Roman"/>
          <w:b/>
          <w:sz w:val="28"/>
          <w:szCs w:val="28"/>
        </w:rPr>
        <w:t>Спрените досъдебни производства</w:t>
      </w:r>
      <w:r>
        <w:rPr>
          <w:rFonts w:ascii="Times New Roman" w:eastAsia="Cambria" w:hAnsi="Times New Roman" w:cs="Times New Roman"/>
          <w:sz w:val="28"/>
          <w:szCs w:val="28"/>
        </w:rPr>
        <w:t xml:space="preserve"> през отчетната 2025 г. са общо  832 или 16.96 % от общо решените, от които поради неразкриване на извършителят са 629 дела. </w:t>
      </w:r>
      <w:bookmarkStart w:id="32" w:name="OLE_LINK37"/>
      <w:r>
        <w:rPr>
          <w:rFonts w:ascii="Times New Roman" w:eastAsia="Cambria" w:hAnsi="Times New Roman" w:cs="Times New Roman"/>
          <w:sz w:val="28"/>
          <w:szCs w:val="28"/>
        </w:rPr>
        <w:t xml:space="preserve">През 2024 г. спрените досъдебни производства са 878 или 16.7% от общо решените, от които 664 поради неразкриване на извършителя. През 2023 г. спрените  досъдебни производства са 789 или 17,4% от общо решените, от които поради неразкриване на извършителят са 636 дела. </w:t>
      </w:r>
      <w:bookmarkEnd w:id="32"/>
    </w:p>
    <w:p w14:paraId="387AC3E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Относителният дял на спрените през отчетната година дела поради неразкриване на извършителя съставляват 75.6 % от общия брой на спрените дела. </w:t>
      </w:r>
    </w:p>
    <w:bookmarkEnd w:id="31"/>
    <w:p w14:paraId="58BA8BB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отчетния период са </w:t>
      </w:r>
      <w:r>
        <w:rPr>
          <w:rFonts w:ascii="Times New Roman" w:eastAsia="Cambria" w:hAnsi="Times New Roman" w:cs="Times New Roman"/>
          <w:b/>
          <w:sz w:val="28"/>
          <w:szCs w:val="28"/>
        </w:rPr>
        <w:t>възобновени</w:t>
      </w:r>
      <w:r>
        <w:rPr>
          <w:rFonts w:ascii="Times New Roman" w:eastAsia="Cambria" w:hAnsi="Times New Roman" w:cs="Times New Roman"/>
          <w:sz w:val="28"/>
          <w:szCs w:val="28"/>
        </w:rPr>
        <w:t xml:space="preserve"> общо 367 досъдебни производства, при съпоставка през 2024 г. възобновените дела са 270, а през 2023 г. - 290 дела. </w:t>
      </w:r>
    </w:p>
    <w:p w14:paraId="079010E2" w14:textId="77777777" w:rsidR="00660716" w:rsidRDefault="00660716" w:rsidP="00660716">
      <w:pPr>
        <w:widowControl w:val="0"/>
        <w:tabs>
          <w:tab w:val="left" w:pos="426"/>
        </w:tabs>
        <w:spacing w:after="0" w:line="240" w:lineRule="auto"/>
        <w:ind w:left="-567" w:right="-427" w:firstLine="567"/>
        <w:jc w:val="both"/>
        <w:rPr>
          <w:rFonts w:ascii="Times New Roman" w:eastAsia="Times New Roman" w:hAnsi="Times New Roman" w:cs="Times New Roman"/>
          <w:color w:val="000000"/>
          <w:sz w:val="28"/>
          <w:szCs w:val="28"/>
          <w:lang w:bidi="bg-BG"/>
        </w:rPr>
      </w:pPr>
      <w:bookmarkStart w:id="33" w:name="OLE_LINK49"/>
      <w:r>
        <w:rPr>
          <w:rFonts w:ascii="Times New Roman" w:eastAsia="Times New Roman" w:hAnsi="Times New Roman" w:cs="Times New Roman"/>
          <w:color w:val="000000"/>
          <w:sz w:val="28"/>
          <w:szCs w:val="28"/>
          <w:lang w:bidi="bg-BG"/>
        </w:rPr>
        <w:lastRenderedPageBreak/>
        <w:t>Тези данни сочат, че в района остават за наблюдение спрени дела, предимно срещу неизвестен извършител, по които не са изтекли сроковете на погасителната давност за наказателно преследване. Периодично се изискват справки за резултатите от оперативно - издирвателните мероприятия на службите при МВР, както и календарно - оперативни планове с набелязаните действия по установяване на лица. Огромният брой от спрените дела се отнасят до неустановен автор на съответното деяние. Това определено навежда на изводи, формирани и за предходните години, за пропуски и множество дефицити в дейността на полицейските служби.</w:t>
      </w:r>
    </w:p>
    <w:bookmarkEnd w:id="33"/>
    <w:p w14:paraId="3CE45032" w14:textId="77777777" w:rsidR="00660716" w:rsidRDefault="00660716" w:rsidP="00660716">
      <w:pPr>
        <w:widowControl w:val="0"/>
        <w:tabs>
          <w:tab w:val="left" w:pos="426"/>
        </w:tabs>
        <w:spacing w:after="280" w:line="240" w:lineRule="auto"/>
        <w:ind w:left="-567" w:right="-427" w:firstLine="567"/>
        <w:jc w:val="both"/>
        <w:rPr>
          <w:rFonts w:ascii="Times New Roman" w:eastAsia="Times New Roman" w:hAnsi="Times New Roman" w:cs="Times New Roman"/>
          <w:color w:val="000000"/>
          <w:sz w:val="28"/>
          <w:szCs w:val="28"/>
          <w:lang w:bidi="bg-BG"/>
        </w:rPr>
      </w:pPr>
      <w:r>
        <w:rPr>
          <w:rFonts w:ascii="Times New Roman" w:eastAsia="Times New Roman" w:hAnsi="Times New Roman" w:cs="Times New Roman"/>
          <w:color w:val="000000"/>
          <w:sz w:val="28"/>
          <w:szCs w:val="28"/>
          <w:lang w:bidi="bg-BG"/>
        </w:rPr>
        <w:t xml:space="preserve">По тази категория дела продължават установените през годините практики – регулярно се извършват проверки за спрените досъдебни производства, с оглед установяване на дела, по които е изтекла погасителната давност за наказателно преследване и тяхното прекратяване. Осъществява се контрол и постоянно наблюдение на спрените дела с оглед възможността за възобновяване и даване на конкретни указания за приключването им. Спрените досъдебни производства се проверяват постоянно за изпълнение на заложените в съответните календарно-оперативни планове оперативно - издирвателни мероприятия, които биха довели до евентуално настъпване на основания за възобновяване на производството. Въпреки това се наблюдава пасивност у полицейските служби за установяване на извършителите на престъпленията, за което може да се съди от изпращаните идентични справки за набелязани и реализирани за период от време ОИМ. </w:t>
      </w:r>
    </w:p>
    <w:p w14:paraId="1DE55A7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Внесени в съда досъдебни производства.</w:t>
      </w:r>
    </w:p>
    <w:p w14:paraId="02CB7772"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b/>
          <w:sz w:val="28"/>
          <w:szCs w:val="28"/>
        </w:rPr>
      </w:pPr>
    </w:p>
    <w:p w14:paraId="52B21473"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отчетния период прокурорите от района на Окръжна прокуратура Пазарджик, от всички решени 4902 досъдебни производства, са внесли в съда 789 досъдебни производства със 789 прокурорски актове, или 16,1% от общо решените. </w:t>
      </w:r>
    </w:p>
    <w:p w14:paraId="14C756ED"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2024 г., в съда са били внесени общо 822 досъдебни производства с 823 прокурорски актове или 15,6 % от общо решените 5353 досъдебни производства.     </w:t>
      </w:r>
    </w:p>
    <w:p w14:paraId="3E5E6FBB"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2023 г., в съда са били внесени общо 795 досъдебни производства с 798 прокурорски актове или 17,5 % от общо решените 4527 досъдебни производства.</w:t>
      </w:r>
    </w:p>
    <w:p w14:paraId="47F12429"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p>
    <w:tbl>
      <w:tblPr>
        <w:tblpPr w:leftFromText="141" w:rightFromText="141" w:bottomFromText="200" w:vertAnchor="text" w:tblpXSpec="center" w:tblpY="1"/>
        <w:tblOverlap w:val="never"/>
        <w:tblW w:w="9606" w:type="dxa"/>
        <w:tblCellMar>
          <w:left w:w="10" w:type="dxa"/>
          <w:right w:w="10" w:type="dxa"/>
        </w:tblCellMar>
        <w:tblLook w:val="04A0" w:firstRow="1" w:lastRow="0" w:firstColumn="1" w:lastColumn="0" w:noHBand="0" w:noVBand="1"/>
      </w:tblPr>
      <w:tblGrid>
        <w:gridCol w:w="1951"/>
        <w:gridCol w:w="2693"/>
        <w:gridCol w:w="2552"/>
        <w:gridCol w:w="2410"/>
      </w:tblGrid>
      <w:tr w:rsidR="00660716" w14:paraId="1B73B9A5" w14:textId="77777777" w:rsidTr="00660716">
        <w:trPr>
          <w:trHeight w:val="847"/>
        </w:trPr>
        <w:tc>
          <w:tcPr>
            <w:tcW w:w="19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14:paraId="090520D3"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Година</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14:paraId="24C8EFA8"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Внесени в съд ДП</w:t>
            </w:r>
          </w:p>
        </w:tc>
        <w:tc>
          <w:tcPr>
            <w:tcW w:w="255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14:paraId="4B9ED1ED"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Решени ДП</w:t>
            </w:r>
          </w:p>
        </w:tc>
        <w:tc>
          <w:tcPr>
            <w:tcW w:w="24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108" w:type="dxa"/>
              <w:bottom w:w="0" w:type="dxa"/>
              <w:right w:w="108" w:type="dxa"/>
            </w:tcMar>
            <w:vAlign w:val="center"/>
            <w:hideMark/>
          </w:tcPr>
          <w:p w14:paraId="26E85F65"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Относителен дял </w:t>
            </w:r>
          </w:p>
          <w:p w14:paraId="3BA0678E"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на внесените </w:t>
            </w:r>
          </w:p>
          <w:p w14:paraId="13B17F77"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спрямо решените</w:t>
            </w:r>
          </w:p>
        </w:tc>
      </w:tr>
      <w:tr w:rsidR="00660716" w14:paraId="7DDD742A" w14:textId="77777777" w:rsidTr="00660716">
        <w:trPr>
          <w:trHeight w:val="419"/>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1A5B85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2025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D9EEEA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789</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53643D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Times New Roman" w:hAnsi="Times New Roman" w:cs="Times New Roman"/>
                <w:color w:val="000000" w:themeColor="text1"/>
                <w:lang w:eastAsia="en-US"/>
              </w:rPr>
              <w:t>4902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DD5CB1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16,1%</w:t>
            </w:r>
          </w:p>
        </w:tc>
      </w:tr>
      <w:tr w:rsidR="00660716" w14:paraId="4024826C" w14:textId="77777777" w:rsidTr="00660716">
        <w:trPr>
          <w:trHeight w:val="419"/>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3BE79A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2024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D4DC20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822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B194F87" w14:textId="77777777" w:rsidR="00660716" w:rsidRDefault="00660716">
            <w:pPr>
              <w:pStyle w:val="a4"/>
              <w:tabs>
                <w:tab w:val="left" w:pos="426"/>
              </w:tabs>
              <w:spacing w:line="276" w:lineRule="auto"/>
              <w:ind w:left="-567" w:right="-427" w:firstLine="567"/>
              <w:rPr>
                <w:rFonts w:ascii="Times New Roman" w:eastAsia="Cambria" w:hAnsi="Times New Roman" w:cs="Times New Roman"/>
                <w:lang w:eastAsia="en-US"/>
              </w:rPr>
            </w:pPr>
            <w:r>
              <w:rPr>
                <w:rFonts w:ascii="Times New Roman" w:eastAsia="Cambria" w:hAnsi="Times New Roman" w:cs="Times New Roman"/>
                <w:lang w:eastAsia="en-US"/>
              </w:rPr>
              <w:t>5253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50C9E5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15,6%</w:t>
            </w:r>
          </w:p>
        </w:tc>
      </w:tr>
      <w:tr w:rsidR="00660716" w14:paraId="51FC57BF" w14:textId="77777777" w:rsidTr="00660716">
        <w:trPr>
          <w:trHeight w:val="419"/>
        </w:trPr>
        <w:tc>
          <w:tcPr>
            <w:tcW w:w="195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3AC2FE4"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val="en-US" w:eastAsia="en-US"/>
              </w:rPr>
            </w:pPr>
            <w:r>
              <w:rPr>
                <w:rFonts w:ascii="Times New Roman" w:eastAsia="Calibri" w:hAnsi="Times New Roman" w:cs="Times New Roman"/>
                <w:lang w:val="en-US" w:eastAsia="en-US"/>
              </w:rPr>
              <w:t>2023</w:t>
            </w:r>
            <w:r>
              <w:rPr>
                <w:rFonts w:ascii="Times New Roman" w:eastAsia="Calibri" w:hAnsi="Times New Roman" w:cs="Times New Roman"/>
                <w:lang w:eastAsia="en-US"/>
              </w:rPr>
              <w:t xml:space="preserve"> г.</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0FB622A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val="en-US" w:eastAsia="en-US"/>
              </w:rPr>
            </w:pPr>
            <w:r>
              <w:rPr>
                <w:rFonts w:ascii="Times New Roman" w:eastAsia="Calibri" w:hAnsi="Times New Roman" w:cs="Times New Roman"/>
                <w:lang w:val="en-US" w:eastAsia="en-US"/>
              </w:rPr>
              <w:t>795</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595D59C8" w14:textId="77777777" w:rsidR="00660716" w:rsidRDefault="00660716">
            <w:pPr>
              <w:pStyle w:val="a4"/>
              <w:tabs>
                <w:tab w:val="left" w:pos="426"/>
              </w:tabs>
              <w:spacing w:line="276" w:lineRule="auto"/>
              <w:ind w:left="-567" w:right="-427" w:firstLine="567"/>
              <w:rPr>
                <w:rFonts w:ascii="Times New Roman" w:eastAsia="Times New Roman" w:hAnsi="Times New Roman" w:cs="Times New Roman"/>
                <w:color w:val="000000" w:themeColor="text1"/>
                <w:lang w:eastAsia="en-US"/>
              </w:rPr>
            </w:pPr>
            <w:r>
              <w:rPr>
                <w:rFonts w:ascii="Times New Roman" w:eastAsia="Cambria" w:hAnsi="Times New Roman" w:cs="Times New Roman"/>
                <w:lang w:val="en-US" w:eastAsia="en-US"/>
              </w:rPr>
              <w:t>4527</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6D4A2F1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17,</w:t>
            </w:r>
            <w:r>
              <w:rPr>
                <w:rFonts w:ascii="Times New Roman" w:eastAsia="Calibri" w:hAnsi="Times New Roman" w:cs="Times New Roman"/>
                <w:lang w:val="en-US" w:eastAsia="en-US"/>
              </w:rPr>
              <w:t>5</w:t>
            </w:r>
            <w:r>
              <w:rPr>
                <w:rFonts w:ascii="Times New Roman" w:eastAsia="Calibri" w:hAnsi="Times New Roman" w:cs="Times New Roman"/>
                <w:lang w:eastAsia="en-US"/>
              </w:rPr>
              <w:t>%</w:t>
            </w:r>
          </w:p>
        </w:tc>
      </w:tr>
    </w:tbl>
    <w:p w14:paraId="58BF199F"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2025 г. внесените в съда 789 досъдебни производства представляват 11,4 % от общо наблюдаваните през годината 6923 производства. </w:t>
      </w:r>
    </w:p>
    <w:p w14:paraId="3646BD6E"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За сравнение през 2024 г. внесените в съд 822 досъдебни производства представляват също 11.5 % от общо наблюдаваните през годината 7123 производства.</w:t>
      </w:r>
    </w:p>
    <w:p w14:paraId="52DE088A"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През 2023 г. внесените в съда 795 досъдебни производства представляват 12,8% от общо наблюдаваните през годината 6205 производства. </w:t>
      </w:r>
    </w:p>
    <w:p w14:paraId="2AFA7F55"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lastRenderedPageBreak/>
        <w:t xml:space="preserve"> Най - обективна представа за ефективността от провежданите разследвания дава съотношението между делата на производство и внесените в съда дела. </w:t>
      </w:r>
    </w:p>
    <w:p w14:paraId="66F3BA9D"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Така през отчетната 2025 г. при 4886 дела на производство, внесените в съда досъдебни производства имат дял 16,15 %. </w:t>
      </w:r>
    </w:p>
    <w:p w14:paraId="2F4B17F7"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При съпоставка през 2024 г. при 4640 дела на производство, внесените в съда досъдебни производства имат дял 17.7 %. Запазва се тенденцията от предходните години около 1/5 от делата на производство да се внасят в съд с прокурорски актове, а през 2023 г. при 4349 дела на производство, внесените в съда досъдебни производства имат дял 18,2 %.</w:t>
      </w:r>
    </w:p>
    <w:p w14:paraId="6EE32D07"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Cambria" w:hAnsi="Times New Roman" w:cs="Times New Roman"/>
          <w:color w:val="C00000"/>
          <w:sz w:val="28"/>
          <w:szCs w:val="28"/>
        </w:rPr>
      </w:pPr>
      <w:r>
        <w:rPr>
          <w:rFonts w:ascii="Times New Roman" w:eastAsia="Cambria" w:hAnsi="Times New Roman" w:cs="Times New Roman"/>
          <w:sz w:val="28"/>
          <w:szCs w:val="28"/>
        </w:rPr>
        <w:t>С оглед вида на акта, с който са внесени в съда, досъдебните производства се разпределят както следва:</w:t>
      </w:r>
    </w:p>
    <w:p w14:paraId="1C435EA1" w14:textId="51175785" w:rsidR="00660716" w:rsidRDefault="00B3775F" w:rsidP="00B3775F">
      <w:pPr>
        <w:pStyle w:val="aa"/>
        <w:tabs>
          <w:tab w:val="left" w:pos="426"/>
        </w:tabs>
        <w:spacing w:after="0" w:line="240" w:lineRule="auto"/>
        <w:ind w:right="-427"/>
        <w:jc w:val="both"/>
        <w:rPr>
          <w:rFonts w:ascii="Times New Roman" w:eastAsia="Cambria" w:hAnsi="Times New Roman" w:cs="Times New Roman"/>
          <w:sz w:val="28"/>
          <w:szCs w:val="28"/>
        </w:rPr>
      </w:pPr>
      <w:bookmarkStart w:id="34" w:name="OLE_LINK87"/>
      <w:r>
        <w:rPr>
          <w:rFonts w:ascii="Times New Roman" w:eastAsia="Cambria" w:hAnsi="Times New Roman" w:cs="Times New Roman"/>
          <w:sz w:val="28"/>
          <w:szCs w:val="28"/>
          <w:u w:val="single"/>
          <w:lang w:val="en-US"/>
        </w:rPr>
        <w:t xml:space="preserve">- </w:t>
      </w:r>
      <w:r w:rsidR="00660716">
        <w:rPr>
          <w:rFonts w:ascii="Times New Roman" w:eastAsia="Cambria" w:hAnsi="Times New Roman" w:cs="Times New Roman"/>
          <w:sz w:val="28"/>
          <w:szCs w:val="28"/>
          <w:u w:val="single"/>
        </w:rPr>
        <w:t>Внесени обвинителни актове</w:t>
      </w:r>
      <w:r w:rsidR="00660716">
        <w:rPr>
          <w:rFonts w:ascii="Times New Roman" w:eastAsia="Cambria" w:hAnsi="Times New Roman" w:cs="Times New Roman"/>
          <w:sz w:val="28"/>
          <w:szCs w:val="28"/>
        </w:rPr>
        <w:t xml:space="preserve"> – 344 или 43,6% от всички внесени с съда досъдебни производства, при 350 обвинителни </w:t>
      </w:r>
      <w:proofErr w:type="gramStart"/>
      <w:r w:rsidR="00660716">
        <w:rPr>
          <w:rFonts w:ascii="Times New Roman" w:eastAsia="Cambria" w:hAnsi="Times New Roman" w:cs="Times New Roman"/>
          <w:sz w:val="28"/>
          <w:szCs w:val="28"/>
        </w:rPr>
        <w:t>актове  /</w:t>
      </w:r>
      <w:proofErr w:type="gramEnd"/>
      <w:r w:rsidR="00660716">
        <w:rPr>
          <w:rFonts w:ascii="Times New Roman" w:eastAsia="Cambria" w:hAnsi="Times New Roman" w:cs="Times New Roman"/>
          <w:sz w:val="28"/>
          <w:szCs w:val="28"/>
        </w:rPr>
        <w:t xml:space="preserve">42.5 %/ за 2024 г </w:t>
      </w:r>
      <w:proofErr w:type="gramStart"/>
      <w:r w:rsidR="00660716">
        <w:rPr>
          <w:rFonts w:ascii="Times New Roman" w:eastAsia="Cambria" w:hAnsi="Times New Roman" w:cs="Times New Roman"/>
          <w:sz w:val="28"/>
          <w:szCs w:val="28"/>
        </w:rPr>
        <w:t>и  при</w:t>
      </w:r>
      <w:proofErr w:type="gramEnd"/>
      <w:r w:rsidR="00660716">
        <w:rPr>
          <w:rFonts w:ascii="Times New Roman" w:eastAsia="Cambria" w:hAnsi="Times New Roman" w:cs="Times New Roman"/>
          <w:sz w:val="28"/>
          <w:szCs w:val="28"/>
        </w:rPr>
        <w:t xml:space="preserve">  360 /45,2% / за 2023г.  Броят на предадените на съд лица по внесените през отчетната година обвинителни актове е 385.</w:t>
      </w:r>
    </w:p>
    <w:p w14:paraId="5F920E58" w14:textId="314F7A66" w:rsidR="00660716" w:rsidRDefault="00B3775F" w:rsidP="00B3775F">
      <w:pPr>
        <w:pStyle w:val="aa"/>
        <w:tabs>
          <w:tab w:val="left" w:pos="284"/>
          <w:tab w:val="left" w:pos="426"/>
        </w:tabs>
        <w:spacing w:after="0" w:line="240" w:lineRule="auto"/>
        <w:ind w:right="-427"/>
        <w:jc w:val="both"/>
        <w:rPr>
          <w:rFonts w:ascii="Times New Roman" w:eastAsia="Cambria" w:hAnsi="Times New Roman" w:cs="Times New Roman"/>
          <w:sz w:val="28"/>
          <w:szCs w:val="28"/>
        </w:rPr>
      </w:pPr>
      <w:r>
        <w:rPr>
          <w:rFonts w:ascii="Times New Roman" w:eastAsia="Cambria" w:hAnsi="Times New Roman" w:cs="Times New Roman"/>
          <w:sz w:val="28"/>
          <w:szCs w:val="28"/>
          <w:u w:val="single"/>
          <w:lang w:val="en-US"/>
        </w:rPr>
        <w:t xml:space="preserve">- </w:t>
      </w:r>
      <w:r w:rsidR="00660716">
        <w:rPr>
          <w:rFonts w:ascii="Times New Roman" w:eastAsia="Cambria" w:hAnsi="Times New Roman" w:cs="Times New Roman"/>
          <w:sz w:val="28"/>
          <w:szCs w:val="28"/>
          <w:u w:val="single"/>
        </w:rPr>
        <w:t>Внесени споразумения</w:t>
      </w:r>
      <w:r w:rsidR="00660716">
        <w:rPr>
          <w:rFonts w:ascii="Times New Roman" w:eastAsia="Cambria" w:hAnsi="Times New Roman" w:cs="Times New Roman"/>
          <w:sz w:val="28"/>
          <w:szCs w:val="28"/>
        </w:rPr>
        <w:t xml:space="preserve"> – 324 или 41,6% от всички внесени в съда досъдебни производства, </w:t>
      </w:r>
      <w:proofErr w:type="gramStart"/>
      <w:r w:rsidR="00660716">
        <w:rPr>
          <w:rFonts w:ascii="Times New Roman" w:eastAsia="Cambria" w:hAnsi="Times New Roman" w:cs="Times New Roman"/>
          <w:sz w:val="28"/>
          <w:szCs w:val="28"/>
        </w:rPr>
        <w:t>при  404</w:t>
      </w:r>
      <w:proofErr w:type="gramEnd"/>
      <w:r w:rsidR="00660716">
        <w:rPr>
          <w:rFonts w:ascii="Times New Roman" w:eastAsia="Cambria" w:hAnsi="Times New Roman" w:cs="Times New Roman"/>
          <w:sz w:val="28"/>
          <w:szCs w:val="28"/>
        </w:rPr>
        <w:t xml:space="preserve"> /49.1 %/ за 2024 г. и 348 /43,7%/ за 2023г.  Броят на лицата по внесените в съда споразумения е 335.</w:t>
      </w:r>
    </w:p>
    <w:p w14:paraId="013D273B" w14:textId="77777777" w:rsidR="00660716" w:rsidRDefault="00660716" w:rsidP="00660716">
      <w:pPr>
        <w:pStyle w:val="aa"/>
        <w:numPr>
          <w:ilvl w:val="0"/>
          <w:numId w:val="47"/>
        </w:numPr>
        <w:tabs>
          <w:tab w:val="left" w:pos="284"/>
          <w:tab w:val="left" w:pos="426"/>
          <w:tab w:val="left" w:pos="851"/>
        </w:tabs>
        <w:spacing w:after="0" w:line="240" w:lineRule="auto"/>
        <w:ind w:right="-427"/>
        <w:jc w:val="both"/>
        <w:rPr>
          <w:rFonts w:ascii="Times New Roman" w:eastAsia="Cambria" w:hAnsi="Times New Roman" w:cs="Times New Roman"/>
          <w:sz w:val="28"/>
          <w:szCs w:val="28"/>
        </w:rPr>
      </w:pPr>
      <w:r>
        <w:rPr>
          <w:rFonts w:ascii="Times New Roman" w:eastAsia="Cambria" w:hAnsi="Times New Roman" w:cs="Times New Roman"/>
          <w:sz w:val="28"/>
          <w:szCs w:val="28"/>
          <w:u w:val="single"/>
        </w:rPr>
        <w:t>Внесени предложения по чл.78а от НК</w:t>
      </w:r>
      <w:r>
        <w:rPr>
          <w:rFonts w:ascii="Times New Roman" w:eastAsia="Cambria" w:hAnsi="Times New Roman" w:cs="Times New Roman"/>
          <w:sz w:val="28"/>
          <w:szCs w:val="28"/>
        </w:rPr>
        <w:t xml:space="preserve"> – 72 или 9,13% от всички внесени в съда досъдебни производства, при 69 /8.4 %/ за 2024 г. и 90 /11,3%/  за 2023 г. Броят на лицата по внесените в съда предложения е 75.</w:t>
      </w:r>
    </w:p>
    <w:p w14:paraId="2216AD12" w14:textId="77777777" w:rsidR="00660716" w:rsidRDefault="00660716" w:rsidP="00660716">
      <w:pPr>
        <w:pStyle w:val="aa"/>
        <w:tabs>
          <w:tab w:val="left" w:pos="284"/>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eastAsia="en-US"/>
        </w:rPr>
      </w:pPr>
      <w:bookmarkStart w:id="35" w:name="OLE_LINK117"/>
      <w:r>
        <w:rPr>
          <w:rFonts w:ascii="Times New Roman" w:eastAsia="Cambria" w:hAnsi="Times New Roman" w:cs="Times New Roman"/>
          <w:color w:val="000000" w:themeColor="text1"/>
          <w:sz w:val="28"/>
          <w:szCs w:val="28"/>
        </w:rPr>
        <w:t xml:space="preserve"> Обвинителните актове и споразуменията имат относително равен дял </w:t>
      </w:r>
      <w:r>
        <w:rPr>
          <w:rFonts w:ascii="Times New Roman" w:eastAsia="Times New Roman" w:hAnsi="Times New Roman" w:cs="Times New Roman"/>
          <w:color w:val="000000" w:themeColor="text1"/>
          <w:sz w:val="28"/>
          <w:szCs w:val="28"/>
          <w:lang w:eastAsia="en-US"/>
        </w:rPr>
        <w:t xml:space="preserve">от общо внесените в съда актове по решените досъдебни производства, с лек превес на обвинителните актове. </w:t>
      </w:r>
    </w:p>
    <w:bookmarkEnd w:id="34"/>
    <w:bookmarkEnd w:id="35"/>
    <w:p w14:paraId="5AFA4C94" w14:textId="47214F65" w:rsidR="00660716" w:rsidRDefault="00660716" w:rsidP="00660716">
      <w:pPr>
        <w:pStyle w:val="aa"/>
        <w:tabs>
          <w:tab w:val="left" w:pos="284"/>
          <w:tab w:val="left" w:pos="426"/>
        </w:tabs>
        <w:spacing w:after="0" w:line="240" w:lineRule="auto"/>
        <w:ind w:left="-567" w:right="-427" w:firstLine="567"/>
        <w:jc w:val="both"/>
        <w:rPr>
          <w:rFonts w:ascii="Times New Roman" w:eastAsia="Cambria" w:hAnsi="Times New Roman" w:cs="Times New Roman"/>
          <w:sz w:val="28"/>
          <w:szCs w:val="28"/>
          <w:lang w:val="en-US"/>
        </w:rPr>
      </w:pPr>
      <w:r>
        <w:rPr>
          <w:rFonts w:ascii="Times New Roman" w:eastAsia="Cambria" w:hAnsi="Times New Roman" w:cs="Times New Roman"/>
          <w:sz w:val="28"/>
          <w:szCs w:val="28"/>
        </w:rPr>
        <w:t>Структурно, по глави от НК, внесените в съда прокурорски актове и относителният им дял спрямо всички внесени прокурорски актове, за отчетната 202</w:t>
      </w:r>
      <w:r w:rsidR="00B85750">
        <w:rPr>
          <w:rFonts w:ascii="Times New Roman" w:eastAsia="Cambria" w:hAnsi="Times New Roman" w:cs="Times New Roman"/>
          <w:sz w:val="28"/>
          <w:szCs w:val="28"/>
        </w:rPr>
        <w:t>5</w:t>
      </w:r>
      <w:r>
        <w:rPr>
          <w:rFonts w:ascii="Times New Roman" w:eastAsia="Cambria" w:hAnsi="Times New Roman" w:cs="Times New Roman"/>
          <w:sz w:val="28"/>
          <w:szCs w:val="28"/>
        </w:rPr>
        <w:t xml:space="preserve"> г. се разпределят по следния начин:</w:t>
      </w:r>
    </w:p>
    <w:p w14:paraId="2AB4A95D" w14:textId="77777777" w:rsidR="00C215BB" w:rsidRPr="00C215BB" w:rsidRDefault="00C215BB" w:rsidP="00660716">
      <w:pPr>
        <w:pStyle w:val="aa"/>
        <w:tabs>
          <w:tab w:val="left" w:pos="284"/>
          <w:tab w:val="left" w:pos="426"/>
        </w:tabs>
        <w:spacing w:after="0" w:line="240" w:lineRule="auto"/>
        <w:ind w:left="-567" w:right="-427" w:firstLine="567"/>
        <w:jc w:val="both"/>
        <w:rPr>
          <w:rFonts w:ascii="Times New Roman" w:eastAsia="Times New Roman" w:hAnsi="Times New Roman" w:cs="Times New Roman"/>
          <w:sz w:val="28"/>
          <w:szCs w:val="28"/>
          <w:shd w:val="clear" w:color="auto" w:fill="FFFFFF"/>
        </w:rPr>
      </w:pPr>
    </w:p>
    <w:p w14:paraId="4F58A238"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sz w:val="28"/>
          <w:szCs w:val="28"/>
          <w:shd w:val="clear" w:color="auto" w:fill="FFFFFF"/>
        </w:rPr>
      </w:pPr>
    </w:p>
    <w:tbl>
      <w:tblPr>
        <w:tblW w:w="9640" w:type="dxa"/>
        <w:tblInd w:w="-214" w:type="dxa"/>
        <w:tblCellMar>
          <w:left w:w="10" w:type="dxa"/>
          <w:right w:w="10" w:type="dxa"/>
        </w:tblCellMar>
        <w:tblLook w:val="04A0" w:firstRow="1" w:lastRow="0" w:firstColumn="1" w:lastColumn="0" w:noHBand="0" w:noVBand="1"/>
      </w:tblPr>
      <w:tblGrid>
        <w:gridCol w:w="4962"/>
        <w:gridCol w:w="2410"/>
        <w:gridCol w:w="2268"/>
      </w:tblGrid>
      <w:tr w:rsidR="00660716" w14:paraId="6AD4FC4F" w14:textId="77777777" w:rsidTr="00660716">
        <w:trPr>
          <w:trHeight w:val="739"/>
        </w:trPr>
        <w:tc>
          <w:tcPr>
            <w:tcW w:w="496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1654156A"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Глава от НК</w:t>
            </w:r>
          </w:p>
        </w:tc>
        <w:tc>
          <w:tcPr>
            <w:tcW w:w="2410"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32C63988"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Внесени прокурорски</w:t>
            </w:r>
          </w:p>
          <w:p w14:paraId="7999EED2"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актове  в съд </w:t>
            </w:r>
          </w:p>
        </w:tc>
        <w:tc>
          <w:tcPr>
            <w:tcW w:w="2268"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216BD505"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Относителен дял </w:t>
            </w:r>
          </w:p>
          <w:p w14:paraId="40D7D57E"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спрямо всички </w:t>
            </w:r>
          </w:p>
          <w:p w14:paraId="332610DA"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 xml:space="preserve">внесени </w:t>
            </w:r>
          </w:p>
          <w:p w14:paraId="56613903"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прокурорски актове</w:t>
            </w:r>
          </w:p>
        </w:tc>
      </w:tr>
      <w:tr w:rsidR="00660716" w14:paraId="3D143C90" w14:textId="77777777" w:rsidTr="00660716">
        <w:trPr>
          <w:trHeight w:val="242"/>
        </w:trPr>
        <w:tc>
          <w:tcPr>
            <w:tcW w:w="4962" w:type="dxa"/>
            <w:tcBorders>
              <w:top w:val="single" w:sz="2"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tcPr>
          <w:p w14:paraId="07E042D6"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Общо</w:t>
            </w:r>
          </w:p>
          <w:p w14:paraId="4170C104"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p>
        </w:tc>
        <w:tc>
          <w:tcPr>
            <w:tcW w:w="2410"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1DA995EA"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r>
              <w:rPr>
                <w:rFonts w:ascii="Times New Roman" w:eastAsia="Calibri" w:hAnsi="Times New Roman" w:cs="Times New Roman"/>
                <w:b/>
                <w:lang w:eastAsia="en-US"/>
              </w:rPr>
              <w:t>789</w:t>
            </w:r>
          </w:p>
        </w:tc>
        <w:tc>
          <w:tcPr>
            <w:tcW w:w="2268"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tcPr>
          <w:p w14:paraId="0DE8F539" w14:textId="77777777" w:rsidR="00660716" w:rsidRDefault="00660716">
            <w:pPr>
              <w:pStyle w:val="a4"/>
              <w:tabs>
                <w:tab w:val="left" w:pos="426"/>
              </w:tabs>
              <w:spacing w:line="276" w:lineRule="auto"/>
              <w:ind w:left="-567" w:right="-427" w:firstLine="567"/>
              <w:rPr>
                <w:rFonts w:ascii="Times New Roman" w:eastAsia="Calibri" w:hAnsi="Times New Roman" w:cs="Times New Roman"/>
                <w:b/>
                <w:lang w:eastAsia="en-US"/>
              </w:rPr>
            </w:pPr>
          </w:p>
        </w:tc>
      </w:tr>
      <w:tr w:rsidR="00660716" w14:paraId="4277D1CB" w14:textId="77777777" w:rsidTr="00660716">
        <w:trPr>
          <w:trHeight w:val="254"/>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C64244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w:t>
            </w:r>
            <w:proofErr w:type="spellStart"/>
            <w:r>
              <w:rPr>
                <w:rFonts w:ascii="Times New Roman" w:eastAsia="Calibri" w:hAnsi="Times New Roman" w:cs="Times New Roman"/>
                <w:lang w:eastAsia="en-US"/>
              </w:rPr>
              <w:t>втора„Престъпления</w:t>
            </w:r>
            <w:proofErr w:type="spellEnd"/>
            <w:r>
              <w:rPr>
                <w:rFonts w:ascii="Times New Roman" w:eastAsia="Calibri" w:hAnsi="Times New Roman" w:cs="Times New Roman"/>
                <w:lang w:eastAsia="en-US"/>
              </w:rPr>
              <w:t xml:space="preserve"> против личността”</w:t>
            </w:r>
          </w:p>
          <w:p w14:paraId="38D0619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D3D386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97</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0AA5B2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12.29%</w:t>
            </w:r>
          </w:p>
        </w:tc>
      </w:tr>
      <w:tr w:rsidR="00660716" w14:paraId="62CDA6E6" w14:textId="77777777" w:rsidTr="00660716">
        <w:trPr>
          <w:trHeight w:val="242"/>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9B81E6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трета  „Престъпления против </w:t>
            </w:r>
          </w:p>
          <w:p w14:paraId="777438F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правата на гражданите”</w:t>
            </w: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0B9BE0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0BD21F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1.14%</w:t>
            </w:r>
          </w:p>
        </w:tc>
      </w:tr>
      <w:tr w:rsidR="00660716" w14:paraId="20143C2F" w14:textId="77777777" w:rsidTr="00660716">
        <w:trPr>
          <w:trHeight w:val="497"/>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688A40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четвърта „Престъпления против брака, </w:t>
            </w:r>
          </w:p>
          <w:p w14:paraId="4309EF5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семейството и младежта”</w:t>
            </w: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F2FE96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58</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C19AD2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7,35%</w:t>
            </w:r>
          </w:p>
        </w:tc>
      </w:tr>
      <w:tr w:rsidR="00660716" w14:paraId="1F972C48" w14:textId="77777777" w:rsidTr="00660716">
        <w:trPr>
          <w:trHeight w:val="242"/>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4355A57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Глава пета „Престъпления против собствеността”</w:t>
            </w:r>
          </w:p>
          <w:p w14:paraId="47B9067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039ED5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77</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952912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9,76%</w:t>
            </w:r>
          </w:p>
        </w:tc>
      </w:tr>
      <w:tr w:rsidR="00660716" w14:paraId="65317232" w14:textId="77777777" w:rsidTr="00660716">
        <w:trPr>
          <w:trHeight w:val="242"/>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14:paraId="058A98F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Глава шеста „Престъпления против стопанството”</w:t>
            </w:r>
          </w:p>
          <w:p w14:paraId="311A977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4318D5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18</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C09208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2,28%</w:t>
            </w:r>
          </w:p>
        </w:tc>
      </w:tr>
      <w:tr w:rsidR="00660716" w14:paraId="2D53873E" w14:textId="77777777" w:rsidTr="00660716">
        <w:trPr>
          <w:trHeight w:val="242"/>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4F6C6E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Глава седма „Престъпления против финансовата,</w:t>
            </w:r>
          </w:p>
          <w:p w14:paraId="7A3849A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данъчната и осигурителната системи”</w:t>
            </w: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C6D7F8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FC32AF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1.01%</w:t>
            </w:r>
          </w:p>
        </w:tc>
      </w:tr>
      <w:tr w:rsidR="00660716" w14:paraId="592BA973" w14:textId="77777777" w:rsidTr="00660716">
        <w:trPr>
          <w:trHeight w:val="739"/>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8781CC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lastRenderedPageBreak/>
              <w:t>Глава  осма „Престъпления против дейността на</w:t>
            </w:r>
          </w:p>
          <w:p w14:paraId="32F4F48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държавни органи, обществени организации </w:t>
            </w:r>
          </w:p>
          <w:p w14:paraId="7A55D12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и лица, изпълнява и публични функции” </w:t>
            </w: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945DDD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19</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85D950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2.41%</w:t>
            </w:r>
          </w:p>
        </w:tc>
      </w:tr>
      <w:tr w:rsidR="00660716" w14:paraId="0AA976D9" w14:textId="77777777" w:rsidTr="00660716">
        <w:trPr>
          <w:trHeight w:val="485"/>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B10948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Глава девета „Документни престъпления”</w:t>
            </w: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61F645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35</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D589719"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4,44%</w:t>
            </w:r>
          </w:p>
        </w:tc>
      </w:tr>
      <w:tr w:rsidR="00660716" w14:paraId="6B59C7D6" w14:textId="77777777" w:rsidTr="00660716">
        <w:trPr>
          <w:trHeight w:val="497"/>
        </w:trPr>
        <w:tc>
          <w:tcPr>
            <w:tcW w:w="4962" w:type="dxa"/>
            <w:tcBorders>
              <w:top w:val="single" w:sz="2" w:space="0" w:color="000000"/>
              <w:left w:val="single" w:sz="4"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2241115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десета „Престъпления против реда и </w:t>
            </w:r>
          </w:p>
          <w:p w14:paraId="3543EEE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общественото спокойствие”</w:t>
            </w:r>
          </w:p>
        </w:tc>
        <w:tc>
          <w:tcPr>
            <w:tcW w:w="2410" w:type="dxa"/>
            <w:tcBorders>
              <w:top w:val="single" w:sz="2" w:space="0" w:color="000000"/>
              <w:left w:val="single" w:sz="2"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0A31171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12</w:t>
            </w:r>
          </w:p>
        </w:tc>
        <w:tc>
          <w:tcPr>
            <w:tcW w:w="2268" w:type="dxa"/>
            <w:tcBorders>
              <w:top w:val="single" w:sz="2" w:space="0" w:color="000000"/>
              <w:left w:val="single" w:sz="2"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1850B5C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1,52%</w:t>
            </w:r>
          </w:p>
        </w:tc>
      </w:tr>
      <w:tr w:rsidR="00660716" w14:paraId="0465D3C4" w14:textId="77777777" w:rsidTr="00660716">
        <w:trPr>
          <w:trHeight w:val="254"/>
        </w:trPr>
        <w:tc>
          <w:tcPr>
            <w:tcW w:w="4962" w:type="dxa"/>
            <w:tcBorders>
              <w:top w:val="single" w:sz="2" w:space="0" w:color="000000"/>
              <w:left w:val="single" w:sz="4" w:space="0" w:color="000000"/>
              <w:bottom w:val="single" w:sz="2" w:space="0" w:color="000000"/>
              <w:right w:val="single" w:sz="4" w:space="0" w:color="000000"/>
            </w:tcBorders>
            <w:shd w:val="clear" w:color="auto" w:fill="FFFFFF"/>
            <w:tcMar>
              <w:top w:w="0" w:type="dxa"/>
              <w:left w:w="70" w:type="dxa"/>
              <w:bottom w:w="0" w:type="dxa"/>
              <w:right w:w="70" w:type="dxa"/>
            </w:tcMar>
            <w:vAlign w:val="center"/>
          </w:tcPr>
          <w:p w14:paraId="6E54605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Глава единадесета „Общоопасни престъпления”</w:t>
            </w:r>
          </w:p>
          <w:p w14:paraId="35FFDBC4"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p>
        </w:tc>
        <w:tc>
          <w:tcPr>
            <w:tcW w:w="2410" w:type="dxa"/>
            <w:tcBorders>
              <w:top w:val="single" w:sz="2" w:space="0" w:color="000000"/>
              <w:left w:val="single" w:sz="2"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339ECE0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455</w:t>
            </w:r>
          </w:p>
        </w:tc>
        <w:tc>
          <w:tcPr>
            <w:tcW w:w="2268" w:type="dxa"/>
            <w:tcBorders>
              <w:top w:val="single" w:sz="2" w:space="0" w:color="000000"/>
              <w:left w:val="single" w:sz="2"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6E53155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57,67%</w:t>
            </w:r>
          </w:p>
        </w:tc>
      </w:tr>
      <w:tr w:rsidR="00660716" w14:paraId="59B8DC86" w14:textId="77777777" w:rsidTr="00660716">
        <w:trPr>
          <w:trHeight w:val="254"/>
        </w:trPr>
        <w:tc>
          <w:tcPr>
            <w:tcW w:w="4962"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179CC1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четиринадесета „Престъпления против мира </w:t>
            </w:r>
          </w:p>
          <w:p w14:paraId="48983A1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и човечеството“</w:t>
            </w:r>
          </w:p>
        </w:tc>
        <w:tc>
          <w:tcPr>
            <w:tcW w:w="2410"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2F88D99"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2268"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45CDDE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0.13 %</w:t>
            </w:r>
          </w:p>
        </w:tc>
      </w:tr>
    </w:tbl>
    <w:p w14:paraId="23F0EE14"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p>
    <w:p w14:paraId="6CEA303B" w14:textId="77777777" w:rsidR="00660716" w:rsidRDefault="00660716" w:rsidP="00660716">
      <w:pPr>
        <w:pStyle w:val="a4"/>
        <w:ind w:left="-567" w:right="-427" w:firstLine="567"/>
        <w:jc w:val="both"/>
        <w:rPr>
          <w:rFonts w:ascii="Times New Roman" w:eastAsia="Calibri" w:hAnsi="Times New Roman" w:cs="Times New Roman"/>
          <w:sz w:val="28"/>
          <w:szCs w:val="28"/>
        </w:rPr>
      </w:pPr>
      <w:r>
        <w:rPr>
          <w:rFonts w:ascii="Times New Roman" w:eastAsia="Cambria" w:hAnsi="Times New Roman" w:cs="Times New Roman"/>
          <w:sz w:val="28"/>
          <w:szCs w:val="28"/>
        </w:rPr>
        <w:t xml:space="preserve"> </w:t>
      </w:r>
      <w:bookmarkStart w:id="36" w:name="OLE_LINK119"/>
      <w:bookmarkStart w:id="37" w:name="OLE_LINK118"/>
      <w:r>
        <w:rPr>
          <w:rFonts w:ascii="Times New Roman" w:eastAsia="Cambria" w:hAnsi="Times New Roman" w:cs="Times New Roman"/>
          <w:sz w:val="28"/>
          <w:szCs w:val="28"/>
        </w:rPr>
        <w:t xml:space="preserve">Предвид, че през отчетната година, както и през предходните две, най – голям е относителния дял на престъпленията по </w:t>
      </w:r>
      <w:r>
        <w:rPr>
          <w:rFonts w:ascii="Times New Roman" w:eastAsia="Calibri" w:hAnsi="Times New Roman" w:cs="Times New Roman"/>
          <w:sz w:val="28"/>
          <w:szCs w:val="28"/>
        </w:rPr>
        <w:t xml:space="preserve">глава единадесета „Общоопасни престъпления, следвани от „Престъпления против личността”,  на трето място „Престъпленията против собствеността“, то е най – голям и делът на внесените в съда прокурорски актове по досъдебните производства, водени по тези наказателни състави. </w:t>
      </w:r>
      <w:bookmarkEnd w:id="36"/>
      <w:bookmarkEnd w:id="37"/>
    </w:p>
    <w:p w14:paraId="6F4945C3" w14:textId="77777777" w:rsidR="00660716" w:rsidRDefault="00660716" w:rsidP="00660716">
      <w:pPr>
        <w:tabs>
          <w:tab w:val="left" w:pos="0"/>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shd w:val="clear" w:color="auto" w:fill="FFFFFF"/>
        </w:rPr>
      </w:pPr>
      <w:r>
        <w:rPr>
          <w:rFonts w:ascii="Times New Roman" w:eastAsia="Cambria" w:hAnsi="Times New Roman" w:cs="Times New Roman"/>
          <w:b/>
          <w:color w:val="000000" w:themeColor="text1"/>
          <w:sz w:val="28"/>
          <w:szCs w:val="28"/>
          <w:u w:val="single"/>
          <w:shd w:val="clear" w:color="auto" w:fill="FFFFFF"/>
        </w:rPr>
        <w:t>2.4. Структурното разпределение на новообразуваните дела за 2025 г. и резултатите по тях</w:t>
      </w:r>
      <w:r>
        <w:rPr>
          <w:rFonts w:ascii="Times New Roman" w:eastAsia="Cambria" w:hAnsi="Times New Roman" w:cs="Times New Roman"/>
          <w:color w:val="000000" w:themeColor="text1"/>
          <w:sz w:val="28"/>
          <w:szCs w:val="28"/>
          <w:shd w:val="clear" w:color="auto" w:fill="FFFFFF"/>
        </w:rPr>
        <w:t xml:space="preserve"> – внесени прокурорски актове в съда и обвиняеми лица,  по видове престъпления, съобразно систематиката на НК:</w:t>
      </w:r>
    </w:p>
    <w:p w14:paraId="69062D44" w14:textId="77777777" w:rsidR="00362FE4" w:rsidRDefault="00362FE4" w:rsidP="00362FE4">
      <w:pPr>
        <w:tabs>
          <w:tab w:val="left" w:pos="426"/>
          <w:tab w:val="left" w:pos="720"/>
        </w:tabs>
        <w:suppressAutoHyphen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За</w:t>
      </w:r>
      <w:r>
        <w:rPr>
          <w:rFonts w:ascii="Times New Roman" w:eastAsia="Cambria" w:hAnsi="Times New Roman" w:cs="Times New Roman"/>
          <w:sz w:val="28"/>
          <w:szCs w:val="28"/>
        </w:rPr>
        <w:t>белязва се значителен ръст в броя на новообразуваните досъдебни производства за престъпления по чл. 354а  от НК за 2025 г. – 462 бр., с дял 17.4% от всички новообразувани, които през 2024 г. са били 325 бр., с дял 11.8 % от всички новообразувани, а през 2023 г. са били 267 досъдебни производства с дял 10.4 % от всички новообразувани. Вероятно това се дължи на засилената дейност от страна на органите на МВР за разкриването на този вид престъпления.</w:t>
      </w:r>
    </w:p>
    <w:p w14:paraId="2D038B68" w14:textId="77777777" w:rsidR="003D2FEB" w:rsidRDefault="003D2FEB" w:rsidP="003D2FEB">
      <w:pPr>
        <w:widowControl w:val="0"/>
        <w:tabs>
          <w:tab w:val="left" w:pos="426"/>
          <w:tab w:val="left" w:pos="8637"/>
        </w:tabs>
        <w:spacing w:after="0" w:line="240" w:lineRule="auto"/>
        <w:ind w:left="-567" w:right="-427" w:firstLine="567"/>
        <w:jc w:val="both"/>
        <w:rPr>
          <w:rFonts w:ascii="Times New Roman" w:eastAsia="Cambria" w:hAnsi="Times New Roman" w:cs="Times New Roman"/>
          <w:sz w:val="28"/>
          <w:szCs w:val="28"/>
        </w:rPr>
      </w:pPr>
      <w:bookmarkStart w:id="38" w:name="OLE_LINK131"/>
      <w:r>
        <w:rPr>
          <w:rFonts w:ascii="Times New Roman" w:eastAsia="Cambria" w:hAnsi="Times New Roman" w:cs="Times New Roman"/>
          <w:sz w:val="28"/>
          <w:szCs w:val="28"/>
        </w:rPr>
        <w:t>Сред досъдебните производства, образувани за престъпления против личността, най – много са тези за престъпления по чл. 131  от НК  – 126 с дял 4.6% от всички новообразувани; по чл.144  от НК - 87 с дял 3.2% , чл.129 НК –  57 с дял 2,1% , по чл.127 от НК – 50 с дял  1,8 % и др.</w:t>
      </w:r>
      <w:bookmarkEnd w:id="38"/>
    </w:p>
    <w:p w14:paraId="7C07D85D" w14:textId="77777777" w:rsidR="003D2FEB" w:rsidRDefault="003D2FEB" w:rsidP="003D2FEB">
      <w:pPr>
        <w:pStyle w:val="11"/>
        <w:tabs>
          <w:tab w:val="left" w:pos="426"/>
        </w:tabs>
        <w:ind w:left="-567" w:right="-427" w:firstLine="567"/>
        <w:jc w:val="both"/>
        <w:rPr>
          <w:rFonts w:ascii="Times New Roman" w:hAnsi="Times New Roman" w:cs="Times New Roman"/>
          <w:color w:val="000000" w:themeColor="text1"/>
          <w:lang w:bidi="bg-BG"/>
        </w:rPr>
      </w:pPr>
      <w:r>
        <w:rPr>
          <w:rFonts w:ascii="Times New Roman" w:hAnsi="Times New Roman" w:cs="Times New Roman"/>
          <w:lang w:bidi="bg-BG"/>
        </w:rPr>
        <w:t xml:space="preserve">В обобщение, в сравнение с предходните години, факторите повлияли на структурата и динамиката на престъпността през 2025 г. в района на Окръжна прокуратура Пазарджик, са свързани предимно с все </w:t>
      </w:r>
      <w:r>
        <w:rPr>
          <w:rFonts w:ascii="Times New Roman" w:hAnsi="Times New Roman" w:cs="Times New Roman"/>
          <w:color w:val="000000" w:themeColor="text1"/>
          <w:lang w:bidi="bg-BG"/>
        </w:rPr>
        <w:t xml:space="preserve">по-честото потребление на рискови и високорискови наркотични вещества, увеличената  разкриваемост на този вид престъпни </w:t>
      </w:r>
      <w:proofErr w:type="spellStart"/>
      <w:r>
        <w:rPr>
          <w:rFonts w:ascii="Times New Roman" w:hAnsi="Times New Roman" w:cs="Times New Roman"/>
          <w:color w:val="000000" w:themeColor="text1"/>
          <w:lang w:bidi="bg-BG"/>
        </w:rPr>
        <w:t>деяния,съществуващата</w:t>
      </w:r>
      <w:proofErr w:type="spellEnd"/>
      <w:r>
        <w:rPr>
          <w:rFonts w:ascii="Times New Roman" w:hAnsi="Times New Roman" w:cs="Times New Roman"/>
          <w:color w:val="000000" w:themeColor="text1"/>
          <w:lang w:bidi="bg-BG"/>
        </w:rPr>
        <w:t xml:space="preserve"> битовата </w:t>
      </w:r>
      <w:proofErr w:type="spellStart"/>
      <w:r>
        <w:rPr>
          <w:rFonts w:ascii="Times New Roman" w:hAnsi="Times New Roman" w:cs="Times New Roman"/>
          <w:color w:val="000000" w:themeColor="text1"/>
          <w:lang w:bidi="bg-BG"/>
        </w:rPr>
        <w:t>престъпност,увеличение</w:t>
      </w:r>
      <w:proofErr w:type="spellEnd"/>
      <w:r>
        <w:rPr>
          <w:rFonts w:ascii="Times New Roman" w:hAnsi="Times New Roman" w:cs="Times New Roman"/>
          <w:color w:val="000000" w:themeColor="text1"/>
          <w:lang w:bidi="bg-BG"/>
        </w:rPr>
        <w:t xml:space="preserve"> за досъдебните производства за престъпления по чл.131 от НК.</w:t>
      </w:r>
    </w:p>
    <w:p w14:paraId="540461D8" w14:textId="77777777" w:rsidR="00362FE4" w:rsidRDefault="00362FE4" w:rsidP="0011478B">
      <w:pPr>
        <w:pStyle w:val="a4"/>
        <w:rPr>
          <w:rFonts w:ascii="Times New Roman" w:eastAsia="Cambria" w:hAnsi="Times New Roman" w:cs="Times New Roman"/>
          <w:b/>
          <w:bCs/>
          <w:sz w:val="28"/>
          <w:szCs w:val="28"/>
          <w:lang w:eastAsia="en-US"/>
        </w:rPr>
      </w:pPr>
    </w:p>
    <w:p w14:paraId="472A7143" w14:textId="77777777" w:rsidR="00362FE4" w:rsidRDefault="00362FE4" w:rsidP="0011478B">
      <w:pPr>
        <w:pStyle w:val="a4"/>
        <w:rPr>
          <w:rFonts w:ascii="Times New Roman" w:eastAsia="Cambria" w:hAnsi="Times New Roman" w:cs="Times New Roman"/>
          <w:b/>
          <w:bCs/>
          <w:sz w:val="28"/>
          <w:szCs w:val="28"/>
          <w:lang w:eastAsia="en-US"/>
        </w:rPr>
      </w:pPr>
    </w:p>
    <w:tbl>
      <w:tblPr>
        <w:tblW w:w="9498" w:type="dxa"/>
        <w:tblInd w:w="-214" w:type="dxa"/>
        <w:tblCellMar>
          <w:left w:w="10" w:type="dxa"/>
          <w:right w:w="10" w:type="dxa"/>
        </w:tblCellMar>
        <w:tblLook w:val="04A0" w:firstRow="1" w:lastRow="0" w:firstColumn="1" w:lastColumn="0" w:noHBand="0" w:noVBand="1"/>
      </w:tblPr>
      <w:tblGrid>
        <w:gridCol w:w="4095"/>
        <w:gridCol w:w="1859"/>
        <w:gridCol w:w="1843"/>
        <w:gridCol w:w="1701"/>
      </w:tblGrid>
      <w:tr w:rsidR="00660716" w14:paraId="0DF324A0" w14:textId="77777777" w:rsidTr="00660716">
        <w:tc>
          <w:tcPr>
            <w:tcW w:w="409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4247F05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Глава от НК</w:t>
            </w:r>
          </w:p>
        </w:tc>
        <w:tc>
          <w:tcPr>
            <w:tcW w:w="1859"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5CDCA4CE"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Новообразувани           ДП</w:t>
            </w:r>
          </w:p>
        </w:tc>
        <w:tc>
          <w:tcPr>
            <w:tcW w:w="1843"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17AB533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Внесени в съда прокурорски</w:t>
            </w:r>
          </w:p>
          <w:p w14:paraId="22A36F4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актове</w:t>
            </w:r>
          </w:p>
        </w:tc>
        <w:tc>
          <w:tcPr>
            <w:tcW w:w="1701" w:type="dxa"/>
            <w:tcBorders>
              <w:top w:val="single" w:sz="4"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72F0763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Обвиняеми лица по тях</w:t>
            </w:r>
          </w:p>
        </w:tc>
      </w:tr>
      <w:tr w:rsidR="00660716" w14:paraId="42CFE501"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43D0B41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Общо</w:t>
            </w:r>
          </w:p>
        </w:tc>
        <w:tc>
          <w:tcPr>
            <w:tcW w:w="1859"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389A99E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color w:val="000000" w:themeColor="text1"/>
                <w:lang w:eastAsia="en-US"/>
              </w:rPr>
              <w:t>2710</w:t>
            </w:r>
          </w:p>
        </w:tc>
        <w:tc>
          <w:tcPr>
            <w:tcW w:w="1843"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1E0ECC79"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val="en-US" w:eastAsia="en-US"/>
              </w:rPr>
            </w:pPr>
            <w:r>
              <w:rPr>
                <w:rFonts w:ascii="Times New Roman" w:eastAsia="Calibri" w:hAnsi="Times New Roman" w:cs="Times New Roman"/>
                <w:lang w:eastAsia="en-US"/>
              </w:rPr>
              <w:t>789</w:t>
            </w:r>
          </w:p>
        </w:tc>
        <w:tc>
          <w:tcPr>
            <w:tcW w:w="1701" w:type="dxa"/>
            <w:tcBorders>
              <w:top w:val="single" w:sz="2" w:space="0" w:color="000000"/>
              <w:left w:val="single" w:sz="2" w:space="0" w:color="000000"/>
              <w:bottom w:val="single" w:sz="4" w:space="0" w:color="000000"/>
              <w:right w:val="single" w:sz="4" w:space="0" w:color="000000"/>
            </w:tcBorders>
            <w:shd w:val="clear" w:color="auto" w:fill="BFBFBF" w:themeFill="background1" w:themeFillShade="BF"/>
            <w:tcMar>
              <w:top w:w="0" w:type="dxa"/>
              <w:left w:w="70" w:type="dxa"/>
              <w:bottom w:w="0" w:type="dxa"/>
              <w:right w:w="70" w:type="dxa"/>
            </w:tcMar>
            <w:vAlign w:val="center"/>
            <w:hideMark/>
          </w:tcPr>
          <w:p w14:paraId="38C6EF1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val="en-US" w:eastAsia="en-US"/>
              </w:rPr>
              <w:t>8</w:t>
            </w:r>
            <w:r>
              <w:rPr>
                <w:rFonts w:ascii="Times New Roman" w:eastAsia="Calibri" w:hAnsi="Times New Roman" w:cs="Times New Roman"/>
                <w:lang w:eastAsia="en-US"/>
              </w:rPr>
              <w:t>45</w:t>
            </w:r>
          </w:p>
        </w:tc>
      </w:tr>
      <w:tr w:rsidR="00660716" w14:paraId="4E5D4BE5"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C913D6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втора „Престъпления </w:t>
            </w:r>
          </w:p>
          <w:p w14:paraId="2AEDF47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против личността”</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5C8FEE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395</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AE6E2A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97</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692874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107</w:t>
            </w:r>
          </w:p>
        </w:tc>
      </w:tr>
      <w:tr w:rsidR="00660716" w14:paraId="15715975"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C356F7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трета </w:t>
            </w:r>
          </w:p>
          <w:p w14:paraId="59035D2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„Престъпления против</w:t>
            </w:r>
          </w:p>
          <w:p w14:paraId="7118E73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правата на гражданите”</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36C4C6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42</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CBCEB3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698228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w:t>
            </w:r>
          </w:p>
        </w:tc>
      </w:tr>
      <w:tr w:rsidR="00660716" w14:paraId="64F2D3EF"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8818AC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lastRenderedPageBreak/>
              <w:t xml:space="preserve">Глава четвърта </w:t>
            </w:r>
          </w:p>
          <w:p w14:paraId="5CB5299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„Престъпления против брака, </w:t>
            </w:r>
          </w:p>
          <w:p w14:paraId="2D095C0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семейството и младежта”</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B1C27A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131</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22AD4F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58</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039D02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62</w:t>
            </w:r>
          </w:p>
        </w:tc>
      </w:tr>
      <w:tr w:rsidR="00660716" w14:paraId="4A333749"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2B9766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пета „Престъпления против </w:t>
            </w:r>
          </w:p>
          <w:p w14:paraId="2FFF391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собствеността”</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D3CDBC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806</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2C8274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77</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3979B7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93</w:t>
            </w:r>
          </w:p>
        </w:tc>
      </w:tr>
      <w:tr w:rsidR="00660716" w14:paraId="7AA9DDF8"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9DCC15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шеста </w:t>
            </w:r>
          </w:p>
          <w:p w14:paraId="14F0F31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„Престъпления против стопанството”</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AAA180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94</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A680B7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18</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48C050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18</w:t>
            </w:r>
          </w:p>
        </w:tc>
      </w:tr>
      <w:tr w:rsidR="00660716" w14:paraId="756298BF"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1B559A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седма „Престъпления </w:t>
            </w:r>
          </w:p>
          <w:p w14:paraId="053DE89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против финансовата, данъчната и </w:t>
            </w:r>
          </w:p>
          <w:p w14:paraId="331098D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осигурителната системи”</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EC320A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11</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EC79BC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AAEF7B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w:t>
            </w:r>
          </w:p>
        </w:tc>
      </w:tr>
      <w:tr w:rsidR="00660716" w14:paraId="1A47DCE3"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28AD31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осма „Престъпления против </w:t>
            </w:r>
          </w:p>
          <w:p w14:paraId="02D1155E"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дейността на държавни органи, </w:t>
            </w:r>
          </w:p>
          <w:p w14:paraId="2A2D5BD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обществени организации и лица,</w:t>
            </w:r>
          </w:p>
          <w:p w14:paraId="292A074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изпълняващи публични функции ”</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C65FF0A"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73</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7FF6111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19</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DF9FC1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24</w:t>
            </w:r>
          </w:p>
        </w:tc>
      </w:tr>
      <w:tr w:rsidR="00660716" w14:paraId="08B53F15"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1F1B99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девета  </w:t>
            </w:r>
          </w:p>
          <w:p w14:paraId="4169E0D9"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„Документни престъпления”</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5E3BC80"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87</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CC341E8"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35</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9C43F17"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37</w:t>
            </w:r>
          </w:p>
        </w:tc>
      </w:tr>
      <w:tr w:rsidR="00660716" w14:paraId="060664E1"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C41C76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девета „а” </w:t>
            </w:r>
          </w:p>
          <w:p w14:paraId="728C35F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„Компютърни престъпления”</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7FEA29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10</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EAF4EBF"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66CC67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r>
      <w:tr w:rsidR="00660716" w14:paraId="6C9FA1F5"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3E58AE3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десета </w:t>
            </w:r>
          </w:p>
          <w:p w14:paraId="6B1FF002"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„Престъпления против </w:t>
            </w:r>
          </w:p>
          <w:p w14:paraId="434764E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реда и общественото спокойствие”</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24F5D1C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89</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057E5295"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12</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A32DEF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13</w:t>
            </w:r>
          </w:p>
        </w:tc>
      </w:tr>
      <w:tr w:rsidR="00660716" w14:paraId="46D147CD" w14:textId="77777777" w:rsidTr="00660716">
        <w:tc>
          <w:tcPr>
            <w:tcW w:w="4095" w:type="dxa"/>
            <w:tcBorders>
              <w:top w:val="single" w:sz="2" w:space="0" w:color="000000"/>
              <w:left w:val="single" w:sz="4"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43152F1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единадесета </w:t>
            </w:r>
          </w:p>
          <w:p w14:paraId="1EBD2FCC"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„Общоопасни престъпления”</w:t>
            </w:r>
          </w:p>
        </w:tc>
        <w:tc>
          <w:tcPr>
            <w:tcW w:w="1859" w:type="dxa"/>
            <w:tcBorders>
              <w:top w:val="single" w:sz="2" w:space="0" w:color="000000"/>
              <w:left w:val="single" w:sz="2"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5ADF6ACB"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972</w:t>
            </w:r>
          </w:p>
        </w:tc>
        <w:tc>
          <w:tcPr>
            <w:tcW w:w="1843" w:type="dxa"/>
            <w:tcBorders>
              <w:top w:val="single" w:sz="2" w:space="0" w:color="000000"/>
              <w:left w:val="single" w:sz="2"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4810C4B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455</w:t>
            </w:r>
          </w:p>
        </w:tc>
        <w:tc>
          <w:tcPr>
            <w:tcW w:w="1701" w:type="dxa"/>
            <w:tcBorders>
              <w:top w:val="single" w:sz="2" w:space="0" w:color="000000"/>
              <w:left w:val="single" w:sz="2" w:space="0" w:color="000000"/>
              <w:bottom w:val="single" w:sz="2" w:space="0" w:color="000000"/>
              <w:right w:val="single" w:sz="4" w:space="0" w:color="000000"/>
            </w:tcBorders>
            <w:shd w:val="clear" w:color="auto" w:fill="FFFFFF"/>
            <w:tcMar>
              <w:top w:w="0" w:type="dxa"/>
              <w:left w:w="70" w:type="dxa"/>
              <w:bottom w:w="0" w:type="dxa"/>
              <w:right w:w="70" w:type="dxa"/>
            </w:tcMar>
            <w:vAlign w:val="center"/>
            <w:hideMark/>
          </w:tcPr>
          <w:p w14:paraId="46585C14"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459</w:t>
            </w:r>
          </w:p>
        </w:tc>
      </w:tr>
      <w:tr w:rsidR="00660716" w14:paraId="2C227EDB" w14:textId="77777777" w:rsidTr="00660716">
        <w:tc>
          <w:tcPr>
            <w:tcW w:w="4095" w:type="dxa"/>
            <w:tcBorders>
              <w:top w:val="single" w:sz="2"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65BC69D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Глава четиринадесета </w:t>
            </w:r>
          </w:p>
          <w:p w14:paraId="0834A224"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„Престъпления против мира и</w:t>
            </w:r>
          </w:p>
          <w:p w14:paraId="663CF46D"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 xml:space="preserve"> човечеството“</w:t>
            </w:r>
          </w:p>
        </w:tc>
        <w:tc>
          <w:tcPr>
            <w:tcW w:w="1859"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4B79E006"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0</w:t>
            </w:r>
          </w:p>
        </w:tc>
        <w:tc>
          <w:tcPr>
            <w:tcW w:w="1843"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1D942BA3"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w:t>
            </w:r>
          </w:p>
        </w:tc>
        <w:tc>
          <w:tcPr>
            <w:tcW w:w="1701" w:type="dxa"/>
            <w:tcBorders>
              <w:top w:val="single" w:sz="2" w:space="0" w:color="000000"/>
              <w:left w:val="single" w:sz="2" w:space="0" w:color="000000"/>
              <w:bottom w:val="single" w:sz="4" w:space="0" w:color="000000"/>
              <w:right w:val="single" w:sz="4" w:space="0" w:color="000000"/>
            </w:tcBorders>
            <w:shd w:val="clear" w:color="auto" w:fill="FFFFFF"/>
            <w:tcMar>
              <w:top w:w="0" w:type="dxa"/>
              <w:left w:w="70" w:type="dxa"/>
              <w:bottom w:w="0" w:type="dxa"/>
              <w:right w:w="70" w:type="dxa"/>
            </w:tcMar>
            <w:vAlign w:val="center"/>
            <w:hideMark/>
          </w:tcPr>
          <w:p w14:paraId="585ABD71" w14:textId="77777777" w:rsidR="00660716" w:rsidRDefault="00660716">
            <w:pPr>
              <w:pStyle w:val="a4"/>
              <w:tabs>
                <w:tab w:val="left" w:pos="426"/>
              </w:tabs>
              <w:spacing w:line="276" w:lineRule="auto"/>
              <w:ind w:left="-567" w:right="-427" w:firstLine="567"/>
              <w:rPr>
                <w:rFonts w:ascii="Times New Roman" w:eastAsia="Calibri" w:hAnsi="Times New Roman" w:cs="Times New Roman"/>
                <w:lang w:eastAsia="en-US"/>
              </w:rPr>
            </w:pPr>
            <w:r>
              <w:rPr>
                <w:rFonts w:ascii="Times New Roman" w:eastAsia="Calibri" w:hAnsi="Times New Roman" w:cs="Times New Roman"/>
                <w:lang w:eastAsia="en-US"/>
              </w:rPr>
              <w:t>14</w:t>
            </w:r>
          </w:p>
        </w:tc>
      </w:tr>
    </w:tbl>
    <w:p w14:paraId="42695320" w14:textId="77777777" w:rsidR="00660716" w:rsidRDefault="00660716" w:rsidP="0011478B">
      <w:pPr>
        <w:pStyle w:val="a4"/>
        <w:rPr>
          <w:rFonts w:ascii="Times New Roman" w:eastAsia="Cambria" w:hAnsi="Times New Roman" w:cs="Times New Roman"/>
          <w:b/>
          <w:bCs/>
          <w:sz w:val="28"/>
          <w:szCs w:val="28"/>
          <w:lang w:eastAsia="en-US"/>
        </w:rPr>
      </w:pPr>
    </w:p>
    <w:p w14:paraId="5DA6DBF9" w14:textId="77777777" w:rsidR="00660716" w:rsidRDefault="00660716" w:rsidP="00660716">
      <w:pPr>
        <w:tabs>
          <w:tab w:val="left" w:pos="426"/>
          <w:tab w:val="left" w:pos="720"/>
        </w:tabs>
        <w:suppressAutoHyphens/>
        <w:spacing w:after="0" w:line="240" w:lineRule="auto"/>
        <w:ind w:left="-567" w:right="-427" w:firstLine="567"/>
        <w:jc w:val="center"/>
        <w:rPr>
          <w:rFonts w:ascii="Times New Roman" w:eastAsia="Cambria" w:hAnsi="Times New Roman" w:cs="Times New Roman"/>
          <w:b/>
          <w:color w:val="000000" w:themeColor="text1"/>
          <w:sz w:val="28"/>
          <w:szCs w:val="28"/>
        </w:rPr>
      </w:pPr>
    </w:p>
    <w:p w14:paraId="0B2F7D90" w14:textId="77777777" w:rsidR="00C215BB" w:rsidRDefault="00C215BB" w:rsidP="00660716">
      <w:pPr>
        <w:tabs>
          <w:tab w:val="left" w:pos="426"/>
          <w:tab w:val="left" w:pos="720"/>
        </w:tabs>
        <w:suppressAutoHyphens/>
        <w:spacing w:after="0" w:line="240" w:lineRule="auto"/>
        <w:ind w:left="-567" w:right="-427" w:firstLine="567"/>
        <w:jc w:val="center"/>
        <w:rPr>
          <w:rFonts w:ascii="Times New Roman" w:eastAsia="Cambria" w:hAnsi="Times New Roman" w:cs="Times New Roman"/>
          <w:b/>
          <w:color w:val="000000" w:themeColor="text1"/>
          <w:sz w:val="28"/>
          <w:szCs w:val="28"/>
        </w:rPr>
      </w:pPr>
    </w:p>
    <w:p w14:paraId="2A4A6992" w14:textId="77777777" w:rsidR="00C215BB" w:rsidRDefault="00C215BB" w:rsidP="00660716">
      <w:pPr>
        <w:tabs>
          <w:tab w:val="left" w:pos="426"/>
          <w:tab w:val="left" w:pos="720"/>
        </w:tabs>
        <w:suppressAutoHyphens/>
        <w:spacing w:after="0" w:line="240" w:lineRule="auto"/>
        <w:ind w:left="-567" w:right="-427" w:firstLine="567"/>
        <w:jc w:val="center"/>
        <w:rPr>
          <w:rFonts w:ascii="Times New Roman" w:eastAsia="Cambria" w:hAnsi="Times New Roman" w:cs="Times New Roman"/>
          <w:b/>
          <w:color w:val="000000" w:themeColor="text1"/>
          <w:sz w:val="28"/>
          <w:szCs w:val="28"/>
        </w:rPr>
      </w:pPr>
    </w:p>
    <w:p w14:paraId="6551C821" w14:textId="77777777" w:rsidR="00660716" w:rsidRDefault="00660716" w:rsidP="00660716">
      <w:pPr>
        <w:tabs>
          <w:tab w:val="left" w:pos="426"/>
          <w:tab w:val="left" w:pos="1170"/>
        </w:tabs>
        <w:suppressAutoHyphens/>
        <w:spacing w:after="0" w:line="240" w:lineRule="auto"/>
        <w:ind w:left="-567" w:right="-427" w:firstLine="567"/>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2.5. ДЕЙСТВИЯ ЗА РАЗРЕШАВАНЕ НА КОНКУРЕНЦИЯ НА АДМИНИСТРАТИВНО - НАКАЗАТЕЛНА И НАКАЗАТЕЛНА ОТГОВОРНОСТ</w:t>
      </w:r>
    </w:p>
    <w:p w14:paraId="0D7790AE" w14:textId="77777777" w:rsidR="00660716" w:rsidRDefault="00660716" w:rsidP="00660716">
      <w:pPr>
        <w:tabs>
          <w:tab w:val="left" w:pos="426"/>
        </w:tabs>
        <w:suppressAutoHyphens/>
        <w:spacing w:after="0" w:line="240" w:lineRule="auto"/>
        <w:ind w:left="-567" w:firstLine="567"/>
        <w:jc w:val="both"/>
        <w:rPr>
          <w:rFonts w:ascii="Times New Roman" w:eastAsia="Times New Roman" w:hAnsi="Times New Roman" w:cs="Times New Roman"/>
          <w:sz w:val="28"/>
          <w:szCs w:val="28"/>
          <w:lang w:val="en-US" w:eastAsia="ar-SA"/>
        </w:rPr>
      </w:pPr>
    </w:p>
    <w:p w14:paraId="3EF60BE6"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отчетната 2025 г. в АС – Пазарджик са внесени 6 предложения с правно основание чл. 72, ал. 1 във вр. с чл. 70 ал. 2 т. 5 от ЗАНН. 3 от тях са на ОП – Пазарджик и 3 на РП – Пазарджик. В съда е имало висящо и още едно предложение, внесено за разглеждане от РП – Пазарджик през 2024 г. ОТ всичките 7 предложения са разгледани и уважени от съда 5 броя. От тях 2 на ОП – Пазарджик и 3 на РП – Пазарджик. Останали са неразгледани 2 броя съответно по едно на ОП – Пазарджик и едно на РП – Пазарджик до края на отчетния период.</w:t>
      </w:r>
    </w:p>
    <w:p w14:paraId="0033423D"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2025 г. като последващи действия по уважените от съда предложения прокурорите от РП – Пазарджик са предприели възобновявания на две досъдебни производства, едното от които по предложение, внесено в АС – Пазарджик през 2025 г., а другото по това, което е било внесено през 2024 г.</w:t>
      </w:r>
    </w:p>
    <w:p w14:paraId="4980BCCE" w14:textId="77777777" w:rsidR="00660716" w:rsidRDefault="00660716" w:rsidP="00660716">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По останалите уважени предложения от АС – Пазарджик предстои възобновяване на досъдебните производства.</w:t>
      </w:r>
    </w:p>
    <w:p w14:paraId="6AD80FD7" w14:textId="77777777" w:rsidR="00660716" w:rsidRDefault="00660716" w:rsidP="0011478B">
      <w:pPr>
        <w:pStyle w:val="a4"/>
        <w:rPr>
          <w:rFonts w:ascii="Times New Roman" w:eastAsia="Cambria" w:hAnsi="Times New Roman" w:cs="Times New Roman"/>
          <w:b/>
          <w:bCs/>
          <w:sz w:val="28"/>
          <w:szCs w:val="28"/>
          <w:lang w:eastAsia="en-US"/>
        </w:rPr>
      </w:pPr>
    </w:p>
    <w:p w14:paraId="046E4D86" w14:textId="77777777" w:rsidR="004F26A9" w:rsidRDefault="004F26A9" w:rsidP="00660716">
      <w:pPr>
        <w:tabs>
          <w:tab w:val="left" w:pos="426"/>
          <w:tab w:val="left" w:pos="720"/>
        </w:tabs>
        <w:suppressAutoHyphens/>
        <w:spacing w:after="0" w:line="240" w:lineRule="auto"/>
        <w:ind w:left="-567" w:right="-427"/>
        <w:jc w:val="center"/>
        <w:rPr>
          <w:rFonts w:ascii="Times New Roman" w:eastAsia="Times New Roman" w:hAnsi="Times New Roman" w:cs="Times New Roman"/>
          <w:b/>
          <w:color w:val="000000"/>
          <w:sz w:val="28"/>
          <w:szCs w:val="28"/>
          <w:lang w:val="en-US"/>
        </w:rPr>
      </w:pPr>
    </w:p>
    <w:p w14:paraId="624C39C3" w14:textId="7350F906" w:rsidR="00660716" w:rsidRDefault="00660716" w:rsidP="00660716">
      <w:pPr>
        <w:tabs>
          <w:tab w:val="left" w:pos="426"/>
          <w:tab w:val="left" w:pos="720"/>
        </w:tabs>
        <w:suppressAutoHyphens/>
        <w:spacing w:after="0" w:line="240" w:lineRule="auto"/>
        <w:ind w:left="-567" w:right="-42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РАЗДЕЛ </w:t>
      </w:r>
      <w:r>
        <w:rPr>
          <w:rFonts w:ascii="Times New Roman" w:eastAsia="Times New Roman" w:hAnsi="Times New Roman" w:cs="Times New Roman"/>
          <w:b/>
          <w:color w:val="000000"/>
          <w:sz w:val="28"/>
          <w:szCs w:val="28"/>
          <w:lang w:val="en-US"/>
        </w:rPr>
        <w:t>I</w:t>
      </w:r>
      <w:r>
        <w:rPr>
          <w:rFonts w:ascii="Times New Roman" w:eastAsia="Times New Roman" w:hAnsi="Times New Roman" w:cs="Times New Roman"/>
          <w:b/>
          <w:color w:val="000000"/>
          <w:sz w:val="28"/>
          <w:szCs w:val="28"/>
        </w:rPr>
        <w:t>ІІ. СЪДЕБНА ФАЗА</w:t>
      </w:r>
    </w:p>
    <w:p w14:paraId="2150D013"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b/>
          <w:color w:val="000000"/>
          <w:sz w:val="28"/>
          <w:szCs w:val="28"/>
          <w:u w:val="single"/>
        </w:rPr>
      </w:pPr>
    </w:p>
    <w:p w14:paraId="344B2166"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b/>
          <w:color w:val="000000"/>
          <w:sz w:val="28"/>
          <w:szCs w:val="28"/>
          <w:u w:val="single"/>
        </w:rPr>
      </w:pPr>
    </w:p>
    <w:p w14:paraId="414D1E3F"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Наказателно – съдебен надзор.</w:t>
      </w:r>
    </w:p>
    <w:p w14:paraId="468E28B5"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b/>
          <w:color w:val="000000"/>
          <w:sz w:val="28"/>
          <w:szCs w:val="28"/>
        </w:rPr>
      </w:pPr>
    </w:p>
    <w:p w14:paraId="56BC8F14"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През отчетната 2025 г. образуваните в съда дела са общо 797 по внесени 789 прокурорски актове, като 66 от тях са образувани по актове, внесени от Окръжна прокуратура- Пазарджик и 731 дела са образувани по актове, внесени от Районна прокуратура- Пазарджик и териториалните отделения към нея.</w:t>
      </w:r>
    </w:p>
    <w:p w14:paraId="1AC9DE9D"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Горните данни, съпоставени с тези за предходните две години сочат следното: през 2024 г. съдилищата в Пазарджишки съдебен район са образували общо 848 дела по внесени 823 прокурорски актове, а през 2023 г. общо образуваните в съда дела са били 819 по внесени 798 прокурорски актове.      </w:t>
      </w:r>
    </w:p>
    <w:p w14:paraId="4D6DF989" w14:textId="77777777" w:rsidR="00660716" w:rsidRDefault="00660716" w:rsidP="00660716">
      <w:pPr>
        <w:tabs>
          <w:tab w:val="left" w:pos="426"/>
          <w:tab w:val="left" w:pos="720"/>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bookmarkStart w:id="39" w:name="OLE_LINK38"/>
      <w:r>
        <w:rPr>
          <w:rFonts w:ascii="Times New Roman" w:eastAsia="Times New Roman" w:hAnsi="Times New Roman" w:cs="Times New Roman"/>
          <w:color w:val="000000" w:themeColor="text1"/>
          <w:sz w:val="28"/>
          <w:szCs w:val="28"/>
        </w:rPr>
        <w:t xml:space="preserve">За разлика от тенденцията, установена от сравнителния анализ на данните през предходната отчетна година, през 2025 г. е налице тенденция на намаляване на броя образувани в съда дела, както и на внесените прокурорски актове. </w:t>
      </w:r>
    </w:p>
    <w:bookmarkEnd w:id="39"/>
    <w:p w14:paraId="0F0AE81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 общо образуваните през отчетната година 797 дела, съдилищата в Пазарджишки съдебен район са постановили 861 решения, както следва: 407 от тях по обвинителни актове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47,27%</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328 по внесени предложения за споразумение по чл. 381 от НПК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38,1%</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78 по внесени постановления за освобождаване от наказателна отговорност с налагане на административно наказания по чл. 78а НК </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9,06%</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и 48 по внесени предложения за споразумение по чл. 375а, ал. 1 от НПК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5,57%</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На съд са предадени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845 лица.</w:t>
      </w:r>
    </w:p>
    <w:p w14:paraId="3075B236"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2024 г. постановените от съда решения са били 879, от които</w:t>
      </w:r>
      <w:r>
        <w:rPr>
          <w:rFonts w:ascii="Times New Roman" w:eastAsia="Times New Roman" w:hAnsi="Times New Roman" w:cs="Times New Roman"/>
          <w:color w:val="000000"/>
          <w:sz w:val="28"/>
          <w:szCs w:val="28"/>
        </w:rPr>
        <w:t xml:space="preserve">: 401 по внесени обвинителни актове (45,62 %), 426 по внесени споразумения по чл.381 от НПК (48,47%), 51 по внесени предложения по чл.78а от НК (5,80 %) и 1 по внесено предложение за споразумение по чл. 375а, ал. 1 от НПК 0,11%. </w:t>
      </w:r>
      <w:r>
        <w:rPr>
          <w:rFonts w:ascii="Times New Roman" w:eastAsia="Times New Roman" w:hAnsi="Times New Roman" w:cs="Times New Roman"/>
          <w:sz w:val="28"/>
          <w:szCs w:val="28"/>
        </w:rPr>
        <w:t>На съд са били предадени 874 лица.</w:t>
      </w:r>
    </w:p>
    <w:p w14:paraId="2E4299E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xml:space="preserve">През </w:t>
      </w:r>
      <w:r>
        <w:rPr>
          <w:rFonts w:ascii="Times New Roman" w:eastAsia="Times New Roman" w:hAnsi="Times New Roman" w:cs="Times New Roman"/>
          <w:color w:val="000000"/>
          <w:sz w:val="28"/>
          <w:szCs w:val="28"/>
        </w:rPr>
        <w:t xml:space="preserve">2023 г., съдилищата в Пазарджишки съдебен район са постановили 854 решения, както следва: 401 по внесени обвинителни актове (46,96 %), 358 по внесени споразумения по чл. 381 от НПК (41,92 %) и 95 по внесени предложения по чл.78а от НК (11,12 %). </w:t>
      </w:r>
      <w:r>
        <w:rPr>
          <w:rFonts w:ascii="Times New Roman" w:eastAsia="Times New Roman" w:hAnsi="Times New Roman" w:cs="Times New Roman"/>
          <w:sz w:val="28"/>
          <w:szCs w:val="28"/>
        </w:rPr>
        <w:t>На съд са били предадени 874 лица.</w:t>
      </w:r>
    </w:p>
    <w:p w14:paraId="2A67F879" w14:textId="77777777" w:rsidR="00AB380F" w:rsidRDefault="00AB380F"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val="en-US"/>
        </w:rPr>
      </w:pPr>
    </w:p>
    <w:p w14:paraId="4C164BE4"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p>
    <w:p w14:paraId="634CF85B" w14:textId="77777777" w:rsidR="00B84AF9" w:rsidRDefault="00B84AF9"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p>
    <w:tbl>
      <w:tblPr>
        <w:tblpPr w:leftFromText="141" w:rightFromText="141" w:bottomFromText="200" w:vertAnchor="text" w:horzAnchor="margin" w:tblpXSpec="center" w:tblpY="102"/>
        <w:tblW w:w="10152" w:type="dxa"/>
        <w:tblBorders>
          <w:top w:val="single" w:sz="6" w:space="0" w:color="000000"/>
          <w:left w:val="single" w:sz="6" w:space="0" w:color="000000"/>
          <w:bottom w:val="single" w:sz="4" w:space="0" w:color="auto"/>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993"/>
        <w:gridCol w:w="1470"/>
        <w:gridCol w:w="1648"/>
        <w:gridCol w:w="1931"/>
        <w:gridCol w:w="1984"/>
        <w:gridCol w:w="2126"/>
      </w:tblGrid>
      <w:tr w:rsidR="00660716" w14:paraId="421A3731" w14:textId="77777777" w:rsidTr="00660716">
        <w:trPr>
          <w:trHeight w:val="1"/>
        </w:trPr>
        <w:tc>
          <w:tcPr>
            <w:tcW w:w="99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14:paraId="0E6A4D09"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Година</w:t>
            </w:r>
          </w:p>
        </w:tc>
        <w:tc>
          <w:tcPr>
            <w:tcW w:w="147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14:paraId="1F1A18A1"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Решения на </w:t>
            </w:r>
          </w:p>
          <w:p w14:paraId="472FA178"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съда – общо </w:t>
            </w:r>
          </w:p>
        </w:tc>
        <w:tc>
          <w:tcPr>
            <w:tcW w:w="1648"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14:paraId="09524F4A"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 По обвинителни</w:t>
            </w:r>
          </w:p>
          <w:p w14:paraId="35B8836E"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актове </w:t>
            </w:r>
          </w:p>
        </w:tc>
        <w:tc>
          <w:tcPr>
            <w:tcW w:w="193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14:paraId="0296D99F"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По предложения</w:t>
            </w:r>
          </w:p>
          <w:p w14:paraId="70276740" w14:textId="77777777" w:rsidR="00660716" w:rsidRDefault="00660716">
            <w:pPr>
              <w:tabs>
                <w:tab w:val="left" w:pos="426"/>
              </w:tabs>
              <w:spacing w:after="0"/>
              <w:ind w:left="-567" w:right="-427" w:firstLine="567"/>
              <w:rPr>
                <w:rFonts w:ascii="Times New Roman" w:eastAsia="Times New Roman" w:hAnsi="Times New Roman" w:cs="Times New Roman"/>
                <w:b/>
                <w:color w:val="000000"/>
                <w:lang w:val="en-US" w:eastAsia="en-US"/>
              </w:rPr>
            </w:pPr>
            <w:r>
              <w:rPr>
                <w:rFonts w:ascii="Times New Roman" w:eastAsia="Times New Roman" w:hAnsi="Times New Roman" w:cs="Times New Roman"/>
                <w:b/>
                <w:color w:val="000000"/>
                <w:lang w:eastAsia="en-US"/>
              </w:rPr>
              <w:t>за споразумение</w:t>
            </w:r>
          </w:p>
          <w:p w14:paraId="32B0EED3"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по чл. 381 НПК</w:t>
            </w:r>
          </w:p>
        </w:tc>
        <w:tc>
          <w:tcPr>
            <w:tcW w:w="198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74" w:type="dxa"/>
              <w:bottom w:w="0" w:type="dxa"/>
              <w:right w:w="74" w:type="dxa"/>
            </w:tcMar>
            <w:vAlign w:val="center"/>
            <w:hideMark/>
          </w:tcPr>
          <w:p w14:paraId="48C6E6B3"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По чл.78а НК</w:t>
            </w:r>
          </w:p>
        </w:tc>
        <w:tc>
          <w:tcPr>
            <w:tcW w:w="2126"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hideMark/>
          </w:tcPr>
          <w:p w14:paraId="118D36E6" w14:textId="77777777" w:rsidR="00660716" w:rsidRDefault="00660716">
            <w:pPr>
              <w:tabs>
                <w:tab w:val="left" w:pos="426"/>
              </w:tabs>
              <w:spacing w:after="0"/>
              <w:ind w:left="-567" w:right="-427" w:firstLine="567"/>
              <w:jc w:val="both"/>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По предложения за </w:t>
            </w:r>
          </w:p>
          <w:p w14:paraId="717FCF2C" w14:textId="77777777" w:rsidR="00660716" w:rsidRDefault="00660716">
            <w:pPr>
              <w:tabs>
                <w:tab w:val="left" w:pos="426"/>
              </w:tabs>
              <w:spacing w:after="0"/>
              <w:ind w:left="-567" w:right="-427" w:firstLine="567"/>
              <w:jc w:val="both"/>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споразумение по </w:t>
            </w:r>
          </w:p>
          <w:p w14:paraId="4F3BBEF9" w14:textId="77777777" w:rsidR="00660716" w:rsidRDefault="00660716">
            <w:pPr>
              <w:tabs>
                <w:tab w:val="left" w:pos="426"/>
              </w:tabs>
              <w:spacing w:after="0"/>
              <w:ind w:left="-567" w:right="-427" w:firstLine="567"/>
              <w:jc w:val="both"/>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чл. 375а, ал. 1 НПК</w:t>
            </w:r>
          </w:p>
        </w:tc>
      </w:tr>
      <w:tr w:rsidR="00660716" w14:paraId="1B23EAD1" w14:textId="77777777" w:rsidTr="00660716">
        <w:trPr>
          <w:trHeight w:val="1"/>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2C41963"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2025 г.</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380EA27D"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861</w:t>
            </w:r>
          </w:p>
        </w:tc>
        <w:tc>
          <w:tcPr>
            <w:tcW w:w="1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247C5FBE"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407</w:t>
            </w:r>
          </w:p>
        </w:tc>
        <w:tc>
          <w:tcPr>
            <w:tcW w:w="193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5271CDB2"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328</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72ECFF0D"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78</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9018A51" w14:textId="77777777" w:rsidR="00660716" w:rsidRDefault="00660716">
            <w:pPr>
              <w:tabs>
                <w:tab w:val="left" w:pos="426"/>
              </w:tabs>
              <w:spacing w:after="0"/>
              <w:ind w:left="-567" w:right="-427" w:firstLine="567"/>
              <w:jc w:val="center"/>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48</w:t>
            </w:r>
          </w:p>
        </w:tc>
      </w:tr>
      <w:tr w:rsidR="00660716" w14:paraId="00AFE3D1" w14:textId="77777777" w:rsidTr="00660716">
        <w:trPr>
          <w:trHeight w:val="1"/>
        </w:trPr>
        <w:tc>
          <w:tcPr>
            <w:tcW w:w="99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4BF41FE7"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2024 г.</w:t>
            </w:r>
          </w:p>
        </w:tc>
        <w:tc>
          <w:tcPr>
            <w:tcW w:w="1470"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6F78C1CC"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879</w:t>
            </w:r>
          </w:p>
        </w:tc>
        <w:tc>
          <w:tcPr>
            <w:tcW w:w="164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06AFA9FF"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401</w:t>
            </w:r>
          </w:p>
        </w:tc>
        <w:tc>
          <w:tcPr>
            <w:tcW w:w="193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1C194AEB"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426</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14:paraId="115BE474"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51</w:t>
            </w:r>
          </w:p>
        </w:tc>
        <w:tc>
          <w:tcPr>
            <w:tcW w:w="2126" w:type="dxa"/>
            <w:tcBorders>
              <w:top w:val="single" w:sz="6" w:space="0" w:color="000000"/>
              <w:left w:val="single" w:sz="6" w:space="0" w:color="000000"/>
              <w:bottom w:val="single" w:sz="6" w:space="0" w:color="000000"/>
              <w:right w:val="single" w:sz="6" w:space="0" w:color="000000"/>
            </w:tcBorders>
            <w:shd w:val="clear" w:color="auto" w:fill="FFFFFF"/>
            <w:hideMark/>
          </w:tcPr>
          <w:p w14:paraId="0D57E9C5" w14:textId="77777777" w:rsidR="00660716" w:rsidRDefault="00660716">
            <w:pPr>
              <w:tabs>
                <w:tab w:val="left" w:pos="426"/>
              </w:tabs>
              <w:spacing w:after="0"/>
              <w:ind w:left="-567" w:right="-427" w:firstLine="567"/>
              <w:jc w:val="cente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1</w:t>
            </w:r>
          </w:p>
        </w:tc>
      </w:tr>
      <w:tr w:rsidR="00660716" w14:paraId="06DB5B37" w14:textId="77777777" w:rsidTr="00660716">
        <w:trPr>
          <w:trHeight w:val="1"/>
        </w:trPr>
        <w:tc>
          <w:tcPr>
            <w:tcW w:w="993"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14:paraId="76C373B5"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2023 г.</w:t>
            </w:r>
          </w:p>
        </w:tc>
        <w:tc>
          <w:tcPr>
            <w:tcW w:w="1470"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14:paraId="433ADC18"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854</w:t>
            </w:r>
          </w:p>
        </w:tc>
        <w:tc>
          <w:tcPr>
            <w:tcW w:w="1648"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14:paraId="441A54F8"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401</w:t>
            </w:r>
          </w:p>
        </w:tc>
        <w:tc>
          <w:tcPr>
            <w:tcW w:w="1931"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14:paraId="413A762D"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358</w:t>
            </w:r>
          </w:p>
        </w:tc>
        <w:tc>
          <w:tcPr>
            <w:tcW w:w="1984" w:type="dxa"/>
            <w:tcBorders>
              <w:top w:val="single" w:sz="6" w:space="0" w:color="000000"/>
              <w:left w:val="single" w:sz="6" w:space="0" w:color="000000"/>
              <w:bottom w:val="single" w:sz="4" w:space="0" w:color="auto"/>
              <w:right w:val="single" w:sz="6" w:space="0" w:color="000000"/>
            </w:tcBorders>
            <w:shd w:val="clear" w:color="auto" w:fill="FFFFFF"/>
            <w:tcMar>
              <w:top w:w="0" w:type="dxa"/>
              <w:left w:w="74" w:type="dxa"/>
              <w:bottom w:w="0" w:type="dxa"/>
              <w:right w:w="74" w:type="dxa"/>
            </w:tcMar>
            <w:vAlign w:val="center"/>
            <w:hideMark/>
          </w:tcPr>
          <w:p w14:paraId="7AD46C25"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95</w:t>
            </w:r>
          </w:p>
        </w:tc>
        <w:tc>
          <w:tcPr>
            <w:tcW w:w="2126" w:type="dxa"/>
            <w:tcBorders>
              <w:top w:val="single" w:sz="6" w:space="0" w:color="000000"/>
              <w:left w:val="single" w:sz="6" w:space="0" w:color="000000"/>
              <w:bottom w:val="single" w:sz="4" w:space="0" w:color="auto"/>
              <w:right w:val="single" w:sz="6" w:space="0" w:color="000000"/>
            </w:tcBorders>
            <w:shd w:val="clear" w:color="auto" w:fill="FFFFFF"/>
            <w:hideMark/>
          </w:tcPr>
          <w:p w14:paraId="4245B270" w14:textId="77777777" w:rsidR="00660716" w:rsidRDefault="00660716">
            <w:pPr>
              <w:tabs>
                <w:tab w:val="left" w:pos="426"/>
              </w:tabs>
              <w:spacing w:after="0"/>
              <w:ind w:left="-567" w:right="-427" w:firstLine="567"/>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r>
    </w:tbl>
    <w:p w14:paraId="49256071"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7900F86E" w14:textId="1AE094E6" w:rsidR="00B84AF9" w:rsidRDefault="00B84AF9"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3576CD09" w14:textId="77777777" w:rsidR="00B84AF9" w:rsidRDefault="00B84AF9"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2A6362C3" w14:textId="77777777" w:rsidR="00B84AF9" w:rsidRDefault="00B84AF9"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7D71E166" w14:textId="77777777" w:rsidR="00B84AF9" w:rsidRDefault="00B84AF9"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14614A44" w14:textId="77777777" w:rsidR="00B84AF9" w:rsidRDefault="00B84AF9"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tbl>
      <w:tblPr>
        <w:tblpPr w:leftFromText="141" w:rightFromText="141" w:bottomFromText="200" w:vertAnchor="text" w:horzAnchor="margin" w:tblpXSpec="center" w:tblpY="203"/>
        <w:tblW w:w="10065" w:type="dxa"/>
        <w:tblCellMar>
          <w:left w:w="10" w:type="dxa"/>
          <w:right w:w="10" w:type="dxa"/>
        </w:tblCellMar>
        <w:tblLook w:val="04A0" w:firstRow="1" w:lastRow="0" w:firstColumn="1" w:lastColumn="0" w:noHBand="0" w:noVBand="1"/>
      </w:tblPr>
      <w:tblGrid>
        <w:gridCol w:w="1938"/>
        <w:gridCol w:w="1748"/>
        <w:gridCol w:w="1843"/>
        <w:gridCol w:w="1701"/>
        <w:gridCol w:w="1842"/>
        <w:gridCol w:w="993"/>
      </w:tblGrid>
      <w:tr w:rsidR="00660716" w14:paraId="17714FB5" w14:textId="77777777" w:rsidTr="00660716">
        <w:trPr>
          <w:trHeight w:val="1"/>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9F199FB"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Прокуратура</w:t>
            </w:r>
          </w:p>
        </w:tc>
        <w:tc>
          <w:tcPr>
            <w:tcW w:w="7134"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4ACFE3D"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Решения по внесени  прокурорски  актове в съда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BA22BA5"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Общо</w:t>
            </w:r>
          </w:p>
        </w:tc>
      </w:tr>
      <w:tr w:rsidR="00660716" w14:paraId="00D02E42" w14:textId="77777777" w:rsidTr="00660716">
        <w:trPr>
          <w:trHeight w:val="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0B827B" w14:textId="77777777" w:rsidR="00660716" w:rsidRDefault="00660716">
            <w:pPr>
              <w:spacing w:after="0" w:line="240" w:lineRule="auto"/>
              <w:rPr>
                <w:rFonts w:ascii="Times New Roman" w:eastAsia="Times New Roman" w:hAnsi="Times New Roman" w:cs="Times New Roman"/>
                <w:color w:val="000000"/>
                <w:lang w:eastAsia="en-US"/>
              </w:rPr>
            </w:pP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61999D92"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по обвинителни</w:t>
            </w:r>
          </w:p>
          <w:p w14:paraId="5D3ED1AA"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актове</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DFE489D"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по предложения</w:t>
            </w:r>
          </w:p>
          <w:p w14:paraId="2F34916B"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за споразумение </w:t>
            </w:r>
          </w:p>
          <w:p w14:paraId="0EBB7C4F"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по  чл. 381 НПК</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99C8C49" w14:textId="77777777" w:rsidR="00660716" w:rsidRDefault="00660716">
            <w:pPr>
              <w:tabs>
                <w:tab w:val="left" w:pos="426"/>
              </w:tabs>
              <w:spacing w:after="0"/>
              <w:ind w:left="-142" w:right="-42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по </w:t>
            </w:r>
            <w:proofErr w:type="spellStart"/>
            <w:r>
              <w:rPr>
                <w:rFonts w:ascii="Times New Roman" w:eastAsia="Times New Roman" w:hAnsi="Times New Roman" w:cs="Times New Roman"/>
                <w:color w:val="000000"/>
                <w:lang w:eastAsia="en-US"/>
              </w:rPr>
              <w:t>постановле</w:t>
            </w:r>
            <w:proofErr w:type="spellEnd"/>
            <w:r>
              <w:rPr>
                <w:rFonts w:ascii="Times New Roman" w:eastAsia="Times New Roman" w:hAnsi="Times New Roman" w:cs="Times New Roman"/>
                <w:color w:val="000000"/>
                <w:lang w:eastAsia="en-US"/>
              </w:rPr>
              <w:t>-</w:t>
            </w:r>
          </w:p>
          <w:p w14:paraId="15BE9F18" w14:textId="77777777" w:rsidR="00660716" w:rsidRDefault="00660716">
            <w:pPr>
              <w:tabs>
                <w:tab w:val="left" w:pos="426"/>
              </w:tabs>
              <w:spacing w:after="0"/>
              <w:ind w:left="-142" w:right="-427"/>
              <w:rPr>
                <w:rFonts w:ascii="Times New Roman" w:eastAsia="Times New Roman" w:hAnsi="Times New Roman" w:cs="Times New Roman"/>
                <w:color w:val="000000"/>
                <w:lang w:eastAsia="en-US"/>
              </w:rPr>
            </w:pPr>
            <w:proofErr w:type="spellStart"/>
            <w:r>
              <w:rPr>
                <w:rFonts w:ascii="Times New Roman" w:eastAsia="Times New Roman" w:hAnsi="Times New Roman" w:cs="Times New Roman"/>
                <w:color w:val="000000"/>
                <w:lang w:eastAsia="en-US"/>
              </w:rPr>
              <w:t>ния</w:t>
            </w:r>
            <w:proofErr w:type="spellEnd"/>
            <w:r>
              <w:rPr>
                <w:rFonts w:ascii="Times New Roman" w:eastAsia="Times New Roman" w:hAnsi="Times New Roman" w:cs="Times New Roman"/>
                <w:color w:val="000000"/>
                <w:lang w:eastAsia="en-US"/>
              </w:rPr>
              <w:t xml:space="preserve"> по чл.78а НК</w:t>
            </w:r>
          </w:p>
        </w:tc>
        <w:tc>
          <w:tcPr>
            <w:tcW w:w="18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CEA15A3" w14:textId="77777777" w:rsidR="00660716" w:rsidRDefault="00660716">
            <w:pPr>
              <w:spacing w:after="0" w:line="240" w:lineRule="auto"/>
              <w:ind w:left="-56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по предложения за</w:t>
            </w:r>
          </w:p>
          <w:p w14:paraId="4B4CF7B7" w14:textId="77777777" w:rsidR="00660716" w:rsidRDefault="00660716">
            <w:pPr>
              <w:spacing w:after="0" w:line="240" w:lineRule="auto"/>
              <w:ind w:left="-56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споразумение по</w:t>
            </w:r>
          </w:p>
          <w:p w14:paraId="62C7F7BA" w14:textId="77777777" w:rsidR="00660716" w:rsidRDefault="00660716">
            <w:pPr>
              <w:spacing w:after="0" w:line="240" w:lineRule="auto"/>
              <w:ind w:left="-56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чл. 375а, ал. 1 НПК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778904" w14:textId="77777777" w:rsidR="00660716" w:rsidRDefault="00660716">
            <w:pPr>
              <w:spacing w:after="0" w:line="240" w:lineRule="auto"/>
              <w:rPr>
                <w:rFonts w:ascii="Times New Roman" w:eastAsia="Times New Roman" w:hAnsi="Times New Roman" w:cs="Times New Roman"/>
                <w:color w:val="000000"/>
                <w:lang w:eastAsia="en-US"/>
              </w:rPr>
            </w:pPr>
          </w:p>
        </w:tc>
      </w:tr>
      <w:tr w:rsidR="00660716" w14:paraId="041C7487" w14:textId="77777777" w:rsidTr="00660716">
        <w:trPr>
          <w:trHeight w:val="1"/>
        </w:trPr>
        <w:tc>
          <w:tcPr>
            <w:tcW w:w="19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D8B383F"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ОП- Пазарджик</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0F9B169"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63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617FD5C"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5F81C5"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0</w:t>
            </w: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14:paraId="58024A1E"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1</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AE23BC9"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79</w:t>
            </w:r>
          </w:p>
        </w:tc>
      </w:tr>
      <w:tr w:rsidR="00660716" w14:paraId="2BAABE75" w14:textId="77777777" w:rsidTr="00660716">
        <w:trPr>
          <w:trHeight w:val="1"/>
        </w:trPr>
        <w:tc>
          <w:tcPr>
            <w:tcW w:w="19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AEFEBD"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РП- Пазарджик</w:t>
            </w:r>
          </w:p>
        </w:tc>
        <w:tc>
          <w:tcPr>
            <w:tcW w:w="17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E6F6C22"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344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394152A"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313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FCCAAB"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78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hideMark/>
          </w:tcPr>
          <w:p w14:paraId="46F7D6DD"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47</w:t>
            </w:r>
          </w:p>
        </w:tc>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CFAC6D6"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 782</w:t>
            </w:r>
          </w:p>
        </w:tc>
      </w:tr>
      <w:tr w:rsidR="00660716" w14:paraId="2B6E7B77" w14:textId="77777777" w:rsidTr="00660716">
        <w:trPr>
          <w:trHeight w:val="1"/>
        </w:trPr>
        <w:tc>
          <w:tcPr>
            <w:tcW w:w="193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5059699E"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 Общо</w:t>
            </w:r>
          </w:p>
        </w:tc>
        <w:tc>
          <w:tcPr>
            <w:tcW w:w="174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135A772"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   407</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2657A1C"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       328</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A0A58C5"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     78</w:t>
            </w:r>
          </w:p>
        </w:tc>
        <w:tc>
          <w:tcPr>
            <w:tcW w:w="1842" w:type="dxa"/>
            <w:tcBorders>
              <w:top w:val="single" w:sz="4" w:space="0" w:color="000000"/>
              <w:left w:val="single" w:sz="4" w:space="0" w:color="000000"/>
              <w:bottom w:val="single" w:sz="4" w:space="0" w:color="000000"/>
              <w:right w:val="single" w:sz="4" w:space="0" w:color="000000"/>
            </w:tcBorders>
            <w:shd w:val="clear" w:color="auto" w:fill="D9D9D9"/>
            <w:hideMark/>
          </w:tcPr>
          <w:p w14:paraId="19FC33D1"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            48</w:t>
            </w:r>
          </w:p>
        </w:tc>
        <w:tc>
          <w:tcPr>
            <w:tcW w:w="9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B5C9FE1"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 xml:space="preserve"> 861</w:t>
            </w:r>
          </w:p>
        </w:tc>
      </w:tr>
    </w:tbl>
    <w:p w14:paraId="48836078"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7DCB2511" w14:textId="77777777" w:rsidR="00660716" w:rsidRDefault="00660716" w:rsidP="00660716">
      <w:pPr>
        <w:tabs>
          <w:tab w:val="left" w:pos="284"/>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През отчетната 2025 г. година спрямо предходната 2024 г. се наблюдава леко намаление на решенията на съда, постановени по внесените прокурорски актове- с 18 по- малко, т. е. намалението е  2,08%. Спрямо 2023 г. е налице незначително увеличение на решенията на съда, постановени по внесените прокурорски актове– със 7 повече - увеличението е  0,82%.</w:t>
      </w:r>
    </w:p>
    <w:p w14:paraId="755A0A90"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sz w:val="28"/>
          <w:szCs w:val="28"/>
        </w:rPr>
        <w:t xml:space="preserve">През всяка една от предходните две отчетни години решенията на съда по внесени обвинителни актове са били 401. </w:t>
      </w:r>
      <w:bookmarkStart w:id="40" w:name="OLE_LINK42"/>
      <w:r>
        <w:rPr>
          <w:rFonts w:ascii="Times New Roman" w:eastAsia="Times New Roman" w:hAnsi="Times New Roman" w:cs="Times New Roman"/>
          <w:color w:val="000000" w:themeColor="text1"/>
          <w:sz w:val="28"/>
          <w:szCs w:val="28"/>
        </w:rPr>
        <w:t>През отчетната година се наблюдава леко увеличение на решенията на съда по внесени обвинителни актове- 407.</w:t>
      </w:r>
    </w:p>
    <w:p w14:paraId="1A542D3A"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Налице е намаление на общия брой решения на съда по внесени предложения за споразумение по чл. 381 от НПК– 328, като през 2024 г. те са били 426, а през  2023 г.-358.</w:t>
      </w:r>
    </w:p>
    <w:p w14:paraId="2A57C7BD"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сравнение с 2024 г. през настоящата отчетна година е налице увеличение на решенията на съда по внесени постановления за освобождаване от наказателна отговорност с налагане на административно наказание по чл. 78а от НК- общо 78, като през 2024 г. са били 51. В същото време е налице намаление на тези решения на съда в сравнение с 2023 г., когато са били 95.</w:t>
      </w:r>
    </w:p>
    <w:p w14:paraId="049663F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През 2025 г. решенията на съда по предложенията за споразумение по чл. 375а, ал. 1 от НПК са 48, като през 2024 г. е имало само едно такова решение.  </w:t>
      </w:r>
    </w:p>
    <w:p w14:paraId="1884FCEE"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Броят на предадените на съд лица през отчетната година е 845, като през всяка от предходните две години- 2024 г. и  2023 г. предадените на съд лица са били 874.</w:t>
      </w:r>
    </w:p>
    <w:p w14:paraId="40E7EAE9"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p>
    <w:bookmarkEnd w:id="40"/>
    <w:p w14:paraId="1C2BCC2E" w14:textId="77777777" w:rsidR="00660716" w:rsidRDefault="00660716" w:rsidP="00660716">
      <w:pPr>
        <w:numPr>
          <w:ilvl w:val="1"/>
          <w:numId w:val="39"/>
        </w:numPr>
        <w:tabs>
          <w:tab w:val="left" w:pos="426"/>
          <w:tab w:val="left" w:pos="709"/>
        </w:tabs>
        <w:suppressAutoHyphens/>
        <w:spacing w:after="0" w:line="240" w:lineRule="auto"/>
        <w:ind w:left="-567" w:right="-427" w:firstLine="567"/>
        <w:contextualSpacing/>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Осъдителни и санкционни съдебни решения.</w:t>
      </w:r>
    </w:p>
    <w:p w14:paraId="5744CAE4" w14:textId="77777777" w:rsidR="00660716" w:rsidRDefault="00660716" w:rsidP="00660716">
      <w:pPr>
        <w:tabs>
          <w:tab w:val="left" w:pos="426"/>
          <w:tab w:val="left" w:pos="709"/>
        </w:tabs>
        <w:suppressAutoHyphens/>
        <w:spacing w:after="0" w:line="240" w:lineRule="auto"/>
        <w:ind w:left="-567" w:right="-427" w:firstLine="567"/>
        <w:contextualSpacing/>
        <w:jc w:val="both"/>
        <w:rPr>
          <w:rFonts w:ascii="Times New Roman" w:eastAsia="Times New Roman" w:hAnsi="Times New Roman" w:cs="Times New Roman"/>
          <w:color w:val="FF0000"/>
          <w:sz w:val="28"/>
          <w:szCs w:val="28"/>
        </w:rPr>
      </w:pPr>
    </w:p>
    <w:p w14:paraId="05285FED" w14:textId="77777777" w:rsidR="00660716" w:rsidRDefault="00660716" w:rsidP="00660716">
      <w:pPr>
        <w:tabs>
          <w:tab w:val="left" w:pos="426"/>
          <w:tab w:val="left" w:pos="709"/>
        </w:tabs>
        <w:suppressAutoHyphens/>
        <w:spacing w:after="0" w:line="240" w:lineRule="auto"/>
        <w:ind w:left="-567" w:right="-427"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 xml:space="preserve">2025 г. постановените от съда решения са 861, като 819 от тях са осъдителни и санкционни съдебни решения. През 2024 г постановените от съда решения са били 879, като 827 от тях са били осъдителни и санкционни съдебни решения. През 2023 г. осъдителните и санкционни съдебни решения са били 805 от общо постановените тогава от съда 854 решения.  </w:t>
      </w:r>
    </w:p>
    <w:p w14:paraId="78F4CB6E"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Times New Roman" w:hAnsi="Times New Roman" w:cs="Times New Roman"/>
          <w:sz w:val="28"/>
          <w:szCs w:val="28"/>
        </w:rPr>
      </w:pPr>
      <w:bookmarkStart w:id="41" w:name="OLE_LINK39"/>
      <w:r>
        <w:rPr>
          <w:rFonts w:ascii="Times New Roman" w:eastAsia="Times New Roman" w:hAnsi="Times New Roman" w:cs="Times New Roman"/>
          <w:color w:val="000000"/>
          <w:sz w:val="28"/>
          <w:szCs w:val="28"/>
        </w:rPr>
        <w:t xml:space="preserve">През отчетната 2025 г. внесените прокурорски актове в съда- 789 представляват  91,63% от постановените от съда 861 решения. През 2024 г. внесените прокурорски актове в съд– 823 са съставлявали 93,63 %  </w:t>
      </w:r>
      <w:r>
        <w:rPr>
          <w:rFonts w:ascii="Times New Roman" w:eastAsia="Times New Roman" w:hAnsi="Times New Roman" w:cs="Times New Roman"/>
          <w:sz w:val="28"/>
          <w:szCs w:val="28"/>
        </w:rPr>
        <w:t xml:space="preserve">от постановените от съда 879 решения, </w:t>
      </w:r>
      <w:bookmarkStart w:id="42" w:name="OLE_LINK40"/>
      <w:bookmarkEnd w:id="41"/>
      <w:r>
        <w:rPr>
          <w:rFonts w:ascii="Times New Roman" w:eastAsia="Times New Roman" w:hAnsi="Times New Roman" w:cs="Times New Roman"/>
          <w:sz w:val="28"/>
          <w:szCs w:val="28"/>
        </w:rPr>
        <w:t>а през 2023 г. внесените прокурорски актове в съд– 798 са съставлявали съответно  93,44 % от постановените от съда 854 решения.</w:t>
      </w:r>
    </w:p>
    <w:p w14:paraId="622D2DF9"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Times New Roman" w:hAnsi="Times New Roman" w:cs="Times New Roman"/>
          <w:sz w:val="28"/>
          <w:szCs w:val="28"/>
        </w:rPr>
      </w:pPr>
    </w:p>
    <w:p w14:paraId="7A49A2C3" w14:textId="77777777" w:rsidR="00660716" w:rsidRDefault="00660716" w:rsidP="00660716">
      <w:pPr>
        <w:tabs>
          <w:tab w:val="left" w:pos="426"/>
          <w:tab w:val="left" w:pos="709"/>
        </w:tabs>
        <w:suppressAutoHyphens/>
        <w:spacing w:after="0" w:line="240" w:lineRule="auto"/>
        <w:ind w:right="-427" w:firstLine="567"/>
        <w:jc w:val="both"/>
        <w:rPr>
          <w:rFonts w:ascii="Times New Roman" w:eastAsia="Times New Roman" w:hAnsi="Times New Roman" w:cs="Times New Roman"/>
          <w:sz w:val="28"/>
          <w:szCs w:val="28"/>
        </w:rPr>
      </w:pPr>
    </w:p>
    <w:p w14:paraId="75F615F6"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Times New Roman" w:hAnsi="Times New Roman" w:cs="Times New Roman"/>
          <w:sz w:val="28"/>
          <w:szCs w:val="28"/>
        </w:rPr>
      </w:pPr>
    </w:p>
    <w:p w14:paraId="7CB579C5" w14:textId="77777777" w:rsidR="00660716" w:rsidRDefault="00660716" w:rsidP="00660716">
      <w:pPr>
        <w:tabs>
          <w:tab w:val="left" w:pos="426"/>
          <w:tab w:val="left" w:pos="709"/>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Относителният дял на осъдителните и санкционни решения за 2025 г.- 819, спрямо общо постановените от съда 861 решения е 95,12%. </w:t>
      </w:r>
      <w:bookmarkEnd w:id="42"/>
      <w:r>
        <w:rPr>
          <w:rFonts w:ascii="Times New Roman" w:eastAsia="Times New Roman" w:hAnsi="Times New Roman" w:cs="Times New Roman"/>
          <w:color w:val="000000" w:themeColor="text1"/>
          <w:sz w:val="28"/>
          <w:szCs w:val="28"/>
        </w:rPr>
        <w:t xml:space="preserve">Относителният дял на осъдителните и санкционни решения за 2024 г. – 827, спрямо постановените от съда решения– 879 е бил 94,08 %. През 2023 г. от общо постановените от съда решения- 854, осъдителните и санкционни решения са били 805, т. е. относителният им дял е бил 94,26 %.  </w:t>
      </w:r>
    </w:p>
    <w:p w14:paraId="590D8110"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rPr>
      </w:pPr>
      <w:bookmarkStart w:id="43" w:name="OLE_LINK47"/>
      <w:r>
        <w:rPr>
          <w:rFonts w:ascii="Times New Roman" w:eastAsia="Times New Roman" w:hAnsi="Times New Roman" w:cs="Times New Roman"/>
          <w:color w:val="000000" w:themeColor="text1"/>
          <w:sz w:val="28"/>
          <w:szCs w:val="28"/>
        </w:rPr>
        <w:t>Процентното съотношението сочи, че през 2025 г. е налице минимално увеличение на относителния дял на осъдителните и санкционни решения, спрямо общо постановените от съда решения в сравнение с предходните 2024 г. и 2023 г</w:t>
      </w:r>
      <w:r>
        <w:rPr>
          <w:rFonts w:ascii="Times New Roman" w:eastAsia="Times New Roman" w:hAnsi="Times New Roman" w:cs="Times New Roman"/>
          <w:color w:val="FF0000"/>
          <w:sz w:val="28"/>
          <w:szCs w:val="28"/>
        </w:rPr>
        <w:t xml:space="preserve">. </w:t>
      </w:r>
    </w:p>
    <w:p w14:paraId="761D1E7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През отчетната 2025 г., 55 от общо 143 осъдителни присъди са постановени по реда на съкратеното съдебно следствие, като през 2024 г. те са били 49 от общо 150 осъдителни присъди, а през 2023 г.- 39 от общо 147 осъдителни присъди.  </w:t>
      </w:r>
    </w:p>
    <w:p w14:paraId="5626013C" w14:textId="77777777" w:rsidR="00660716" w:rsidRDefault="00660716" w:rsidP="00660716">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eastAsia="ar-SA"/>
        </w:rPr>
      </w:pPr>
      <w:r>
        <w:rPr>
          <w:rFonts w:ascii="Times New Roman" w:eastAsia="Times New Roman" w:hAnsi="Times New Roman" w:cs="Times New Roman"/>
          <w:color w:val="000000" w:themeColor="text1"/>
          <w:sz w:val="28"/>
          <w:szCs w:val="28"/>
          <w:lang w:eastAsia="ar-SA"/>
        </w:rPr>
        <w:t>Горните данни налагат извод, че тази диференцирана процедура намира приложение по делата, внесени с обвинителни актове от прокурорите от Пазарджишкия съдебен район. Решаването на делата с осъдителен съдебен акт по реда на съкратеното съдебно следствие е резултат от проведено обективно, всестранно и пълно разследване, в хода на което са събрани в достатъчна степен  категорични доказателства по повдигнатите обвинения, което е позитив за работата на прокуратурата. В случаите, когато обвинението не е приело определеният от съда размер на наказанието като справедливо, са внасяни протести против постановените съдебни актове.</w:t>
      </w:r>
    </w:p>
    <w:bookmarkEnd w:id="43"/>
    <w:p w14:paraId="0B0A4486" w14:textId="77777777" w:rsidR="00660716" w:rsidRDefault="00660716" w:rsidP="00660716">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23F38779" w14:textId="77777777" w:rsidR="00660716" w:rsidRDefault="00660716" w:rsidP="00660716">
      <w:pPr>
        <w:tabs>
          <w:tab w:val="left" w:pos="426"/>
          <w:tab w:val="left" w:pos="709"/>
          <w:tab w:val="left" w:pos="993"/>
        </w:tabs>
        <w:suppressAutoHyphens/>
        <w:spacing w:after="0" w:line="240" w:lineRule="auto"/>
        <w:ind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14:anchorId="586B57BC" wp14:editId="2911B2AC">
            <wp:extent cx="4572000" cy="3432175"/>
            <wp:effectExtent l="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14:paraId="50A0E8AD" w14:textId="77777777" w:rsidR="00660716" w:rsidRDefault="00660716" w:rsidP="00660716">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480B05C5"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i/>
          <w:sz w:val="28"/>
          <w:szCs w:val="28"/>
        </w:rPr>
        <w:t>1.2. Осъдени и санкционирани лица</w:t>
      </w:r>
      <w:r>
        <w:rPr>
          <w:rFonts w:ascii="Times New Roman" w:eastAsia="Times New Roman" w:hAnsi="Times New Roman" w:cs="Times New Roman"/>
          <w:sz w:val="28"/>
          <w:szCs w:val="28"/>
        </w:rPr>
        <w:t xml:space="preserve"> през отчетната 2025 г. по внесените прокурорски актове (обвинителни актове, предложения за споразумение по чл. 381 от НПК, предложения по внесени постановления за освобождаване от наказателна отговорност с налагане на административно наказания и предложения за </w:t>
      </w:r>
      <w:r>
        <w:rPr>
          <w:rFonts w:ascii="Times New Roman" w:eastAsia="Times New Roman" w:hAnsi="Times New Roman" w:cs="Times New Roman"/>
          <w:sz w:val="28"/>
          <w:szCs w:val="28"/>
        </w:rPr>
        <w:lastRenderedPageBreak/>
        <w:t>споразумение по чл. 375а, ал. 1 НПК) са 859, като през 2024 г. те са били 846, а през  2023 г. са били 834 лица.</w:t>
      </w:r>
    </w:p>
    <w:p w14:paraId="69E936FF"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Анализът на тези данни сочи на увеличение на осъдените и санкционирани лица през 2025 г. в сравнение с 2024 г. и 2023 г.</w:t>
      </w:r>
      <w:r>
        <w:rPr>
          <w:rFonts w:ascii="Times New Roman" w:eastAsia="Times New Roman" w:hAnsi="Times New Roman" w:cs="Times New Roman"/>
          <w:color w:val="FF0000"/>
          <w:sz w:val="28"/>
          <w:szCs w:val="28"/>
        </w:rPr>
        <w:t xml:space="preserve">    </w:t>
      </w:r>
    </w:p>
    <w:p w14:paraId="32EFCC13"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rPr>
      </w:pPr>
    </w:p>
    <w:p w14:paraId="3474BCE9"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rPr>
      </w:pPr>
    </w:p>
    <w:tbl>
      <w:tblPr>
        <w:tblW w:w="9923" w:type="dxa"/>
        <w:tblInd w:w="-176" w:type="dxa"/>
        <w:tblCellMar>
          <w:left w:w="10" w:type="dxa"/>
          <w:right w:w="10" w:type="dxa"/>
        </w:tblCellMar>
        <w:tblLook w:val="04A0" w:firstRow="1" w:lastRow="0" w:firstColumn="1" w:lastColumn="0" w:noHBand="0" w:noVBand="1"/>
      </w:tblPr>
      <w:tblGrid>
        <w:gridCol w:w="2026"/>
        <w:gridCol w:w="1409"/>
        <w:gridCol w:w="1931"/>
        <w:gridCol w:w="1581"/>
        <w:gridCol w:w="1984"/>
        <w:gridCol w:w="992"/>
      </w:tblGrid>
      <w:tr w:rsidR="00660716" w14:paraId="19ED443F" w14:textId="77777777" w:rsidTr="00660716">
        <w:tc>
          <w:tcPr>
            <w:tcW w:w="2026" w:type="dxa"/>
            <w:vMerge w:val="restart"/>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14:paraId="7D7FFF79"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p>
          <w:p w14:paraId="3278B414"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p>
          <w:p w14:paraId="5BA12520"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ПРОКУРАТУРА</w:t>
            </w:r>
          </w:p>
        </w:tc>
        <w:tc>
          <w:tcPr>
            <w:tcW w:w="7897" w:type="dxa"/>
            <w:gridSpan w:val="5"/>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501A2FDD" w14:textId="77777777" w:rsidR="00660716" w:rsidRDefault="00660716">
            <w:pPr>
              <w:tabs>
                <w:tab w:val="left" w:pos="426"/>
              </w:tabs>
              <w:spacing w:after="0"/>
              <w:ind w:left="-567" w:right="-427" w:firstLine="567"/>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Осъдени и санкционирани лица</w:t>
            </w:r>
          </w:p>
          <w:p w14:paraId="17AB1910" w14:textId="77777777" w:rsidR="00660716" w:rsidRDefault="00660716">
            <w:pPr>
              <w:tabs>
                <w:tab w:val="left" w:pos="426"/>
              </w:tabs>
              <w:spacing w:after="0"/>
              <w:ind w:left="-567" w:right="-427" w:firstLine="567"/>
              <w:jc w:val="center"/>
              <w:rPr>
                <w:rFonts w:ascii="Times New Roman" w:eastAsia="Times New Roman" w:hAnsi="Times New Roman" w:cs="Times New Roman"/>
                <w:b/>
                <w:lang w:eastAsia="en-US"/>
              </w:rPr>
            </w:pPr>
            <w:r>
              <w:rPr>
                <w:rFonts w:ascii="Times New Roman" w:eastAsia="Times New Roman" w:hAnsi="Times New Roman" w:cs="Times New Roman"/>
                <w:b/>
                <w:lang w:eastAsia="en-US"/>
              </w:rPr>
              <w:t>по внесени прокурорски актове</w:t>
            </w:r>
          </w:p>
        </w:tc>
      </w:tr>
      <w:tr w:rsidR="00660716" w14:paraId="466860EE" w14:textId="77777777" w:rsidTr="00660716">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5FD8AA" w14:textId="77777777" w:rsidR="00660716" w:rsidRDefault="00660716">
            <w:pPr>
              <w:spacing w:after="0" w:line="240" w:lineRule="auto"/>
              <w:rPr>
                <w:rFonts w:ascii="Times New Roman" w:eastAsia="Times New Roman" w:hAnsi="Times New Roman" w:cs="Times New Roman"/>
                <w:b/>
                <w:lang w:eastAsia="en-US"/>
              </w:rPr>
            </w:pPr>
          </w:p>
        </w:tc>
        <w:tc>
          <w:tcPr>
            <w:tcW w:w="140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7E07B8F0"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Обвинителни</w:t>
            </w:r>
          </w:p>
          <w:p w14:paraId="094EBE76"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актове</w:t>
            </w:r>
          </w:p>
        </w:tc>
        <w:tc>
          <w:tcPr>
            <w:tcW w:w="193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2CED5E4E"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Споразумения </w:t>
            </w:r>
          </w:p>
          <w:p w14:paraId="29479AF9"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по чл. 381  НПК </w:t>
            </w:r>
          </w:p>
        </w:tc>
        <w:tc>
          <w:tcPr>
            <w:tcW w:w="158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3B11049F"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Предложения</w:t>
            </w:r>
          </w:p>
          <w:p w14:paraId="16EB0A27"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по чл.78а НК</w:t>
            </w:r>
          </w:p>
        </w:tc>
        <w:tc>
          <w:tcPr>
            <w:tcW w:w="1984" w:type="dxa"/>
            <w:tcBorders>
              <w:top w:val="single" w:sz="4" w:space="0" w:color="000000"/>
              <w:left w:val="single" w:sz="4" w:space="0" w:color="000000"/>
              <w:bottom w:val="single" w:sz="4" w:space="0" w:color="000000"/>
              <w:right w:val="single" w:sz="4" w:space="0" w:color="000000"/>
            </w:tcBorders>
            <w:shd w:val="clear" w:color="auto" w:fill="CCCCCC"/>
            <w:hideMark/>
          </w:tcPr>
          <w:p w14:paraId="51F12B18"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Споразумения по </w:t>
            </w:r>
          </w:p>
          <w:p w14:paraId="2C0F2903"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чл. 375а, ал. 1 НПК</w:t>
            </w:r>
          </w:p>
        </w:tc>
        <w:tc>
          <w:tcPr>
            <w:tcW w:w="99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5CA52424"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ОБЩО</w:t>
            </w:r>
          </w:p>
        </w:tc>
      </w:tr>
      <w:tr w:rsidR="00660716" w14:paraId="1B95A416" w14:textId="77777777" w:rsidTr="00660716">
        <w:trPr>
          <w:trHeight w:val="1"/>
        </w:trPr>
        <w:tc>
          <w:tcPr>
            <w:tcW w:w="20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D5B5ADC"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ОП Пазарджик</w:t>
            </w:r>
          </w:p>
        </w:tc>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4B97FF1"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52</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6E081B"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15</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739DF8E"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0</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14:paraId="12422C38"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b/>
                <w:lang w:eastAsia="en-US"/>
              </w:rPr>
              <w:t xml:space="preserve">   </w:t>
            </w:r>
            <w:r>
              <w:rPr>
                <w:rFonts w:ascii="Times New Roman" w:eastAsia="Times New Roman" w:hAnsi="Times New Roman" w:cs="Times New Roman"/>
                <w:lang w:eastAsia="en-US"/>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FA72DD3"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68</w:t>
            </w:r>
          </w:p>
        </w:tc>
      </w:tr>
      <w:tr w:rsidR="00660716" w14:paraId="16C4E76B" w14:textId="77777777" w:rsidTr="00660716">
        <w:trPr>
          <w:trHeight w:val="1"/>
        </w:trPr>
        <w:tc>
          <w:tcPr>
            <w:tcW w:w="20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6C4AED1"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РП Пазарджик</w:t>
            </w:r>
          </w:p>
        </w:tc>
        <w:tc>
          <w:tcPr>
            <w:tcW w:w="1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2736510"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336</w:t>
            </w:r>
          </w:p>
        </w:tc>
        <w:tc>
          <w:tcPr>
            <w:tcW w:w="1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2FF8E830"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331</w:t>
            </w:r>
          </w:p>
        </w:tc>
        <w:tc>
          <w:tcPr>
            <w:tcW w:w="15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AF036F3"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76</w:t>
            </w:r>
          </w:p>
        </w:tc>
        <w:tc>
          <w:tcPr>
            <w:tcW w:w="1984" w:type="dxa"/>
            <w:tcBorders>
              <w:top w:val="single" w:sz="4" w:space="0" w:color="000000"/>
              <w:left w:val="single" w:sz="4" w:space="0" w:color="000000"/>
              <w:bottom w:val="single" w:sz="4" w:space="0" w:color="000000"/>
              <w:right w:val="single" w:sz="4" w:space="0" w:color="000000"/>
            </w:tcBorders>
            <w:shd w:val="clear" w:color="auto" w:fill="FFFFFF"/>
            <w:hideMark/>
          </w:tcPr>
          <w:p w14:paraId="6C790D59"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b/>
                <w:lang w:eastAsia="en-US"/>
              </w:rPr>
              <w:t xml:space="preserve">  </w:t>
            </w:r>
            <w:r>
              <w:rPr>
                <w:rFonts w:ascii="Times New Roman" w:eastAsia="Times New Roman" w:hAnsi="Times New Roman" w:cs="Times New Roman"/>
                <w:lang w:eastAsia="en-US"/>
              </w:rPr>
              <w:t>48</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7B01FFF2"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791</w:t>
            </w:r>
          </w:p>
        </w:tc>
      </w:tr>
      <w:tr w:rsidR="00660716" w14:paraId="7FBCD8B6" w14:textId="77777777" w:rsidTr="00660716">
        <w:trPr>
          <w:trHeight w:val="1"/>
        </w:trPr>
        <w:tc>
          <w:tcPr>
            <w:tcW w:w="2026"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hideMark/>
          </w:tcPr>
          <w:p w14:paraId="1AEEBB21"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b/>
                <w:lang w:eastAsia="en-US"/>
              </w:rPr>
              <w:t>ОБЩО :</w:t>
            </w:r>
          </w:p>
        </w:tc>
        <w:tc>
          <w:tcPr>
            <w:tcW w:w="140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hideMark/>
          </w:tcPr>
          <w:p w14:paraId="538DB0DC"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b/>
                <w:lang w:eastAsia="en-US"/>
              </w:rPr>
              <w:t>369</w:t>
            </w:r>
          </w:p>
        </w:tc>
        <w:tc>
          <w:tcPr>
            <w:tcW w:w="193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hideMark/>
          </w:tcPr>
          <w:p w14:paraId="7DC6D9E2"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b/>
                <w:lang w:eastAsia="en-US"/>
              </w:rPr>
              <w:t>346</w:t>
            </w:r>
          </w:p>
        </w:tc>
        <w:tc>
          <w:tcPr>
            <w:tcW w:w="158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hideMark/>
          </w:tcPr>
          <w:p w14:paraId="50A1BDDE"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76</w:t>
            </w:r>
          </w:p>
        </w:tc>
        <w:tc>
          <w:tcPr>
            <w:tcW w:w="1984" w:type="dxa"/>
            <w:tcBorders>
              <w:top w:val="single" w:sz="4" w:space="0" w:color="000000"/>
              <w:left w:val="single" w:sz="4" w:space="0" w:color="000000"/>
              <w:bottom w:val="single" w:sz="4" w:space="0" w:color="000000"/>
              <w:right w:val="single" w:sz="4" w:space="0" w:color="000000"/>
            </w:tcBorders>
            <w:shd w:val="clear" w:color="auto" w:fill="CCCCCC"/>
            <w:hideMark/>
          </w:tcPr>
          <w:p w14:paraId="67FDD6C5"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  49</w:t>
            </w:r>
          </w:p>
        </w:tc>
        <w:tc>
          <w:tcPr>
            <w:tcW w:w="99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vAlign w:val="center"/>
            <w:hideMark/>
          </w:tcPr>
          <w:p w14:paraId="10253DB4"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b/>
                <w:lang w:eastAsia="en-US"/>
              </w:rPr>
              <w:t xml:space="preserve"> 859</w:t>
            </w:r>
          </w:p>
        </w:tc>
      </w:tr>
    </w:tbl>
    <w:p w14:paraId="0AD2B269"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rPr>
      </w:pPr>
    </w:p>
    <w:p w14:paraId="50131606"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Осъдените и санкционирани лица с влезли в сила присъди/решения през 2025 г. са 798, при 820 такива лица през 2024 г. и 808 през 2023 г.</w:t>
      </w:r>
      <w:r>
        <w:rPr>
          <w:rFonts w:ascii="Times New Roman" w:eastAsia="Times New Roman" w:hAnsi="Times New Roman" w:cs="Times New Roman"/>
          <w:color w:val="FF0000"/>
          <w:sz w:val="28"/>
          <w:szCs w:val="28"/>
        </w:rPr>
        <w:t xml:space="preserve"> </w:t>
      </w:r>
    </w:p>
    <w:p w14:paraId="0740C0A5"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bookmarkStart w:id="44" w:name="OLE_LINK46"/>
      <w:r>
        <w:rPr>
          <w:rFonts w:ascii="Times New Roman" w:eastAsia="Times New Roman" w:hAnsi="Times New Roman" w:cs="Times New Roman"/>
          <w:color w:val="000000" w:themeColor="text1"/>
          <w:sz w:val="28"/>
          <w:szCs w:val="28"/>
        </w:rPr>
        <w:t xml:space="preserve">Съотношението на осъдените и санкционирани 798 лица с влезли в сила присъди/решения за 2025 г. спрямо предадените на съд 845 лица е 94,44%. Това съотношение за предходните две години е: за 2024 г.- 93,38% </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rPr>
        <w:t>820 осъдени и санкционирани лица с влезли в сила съдебни актове спрямо предадените на съд 874 лица</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rPr>
        <w:t xml:space="preserve"> и за 2023 г.- 92,45%</w:t>
      </w:r>
      <w:r>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rPr>
        <w:t>808 осъдени и санкционирани лица с влезли в сила съдебни актове спрямо предадените на съд 874 лица</w:t>
      </w:r>
      <w:r>
        <w:rPr>
          <w:rFonts w:ascii="Times New Roman" w:eastAsia="Times New Roman" w:hAnsi="Times New Roman" w:cs="Times New Roman"/>
          <w:color w:val="000000" w:themeColor="text1"/>
          <w:sz w:val="28"/>
          <w:szCs w:val="28"/>
          <w:lang w:val="en-US"/>
        </w:rPr>
        <w:t>)</w:t>
      </w:r>
      <w:r>
        <w:rPr>
          <w:rFonts w:ascii="Times New Roman" w:eastAsia="Times New Roman" w:hAnsi="Times New Roman" w:cs="Times New Roman"/>
          <w:color w:val="000000" w:themeColor="text1"/>
          <w:sz w:val="28"/>
          <w:szCs w:val="28"/>
        </w:rPr>
        <w:t>. Данните сочат леко увеличение по този показател в сравнение с предходните две отчетни години.</w:t>
      </w:r>
    </w:p>
    <w:p w14:paraId="5A2B32F6"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Съотношението на осъдените и санкционирани 798 лица с влезли в сила присъди/решения спрямо всички осъдени и санкционирани през 2025 г. 859 лица е 93%, като за 2024 г. това съотношение е било 96,93%- 820 лица с влезли в сила присъди/решения от общо осъдени и санкционирани 846 лица. </w:t>
      </w:r>
    </w:p>
    <w:p w14:paraId="464EE9F9"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Съотношението на осъдените и санкционирани 798 лица с влезли в сила присъди/решения спрямо всички осъдени и санкционирани и оправдани лица през 2025 г. 879</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лица е 90,78%.</w:t>
      </w:r>
      <w:bookmarkEnd w:id="44"/>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Съотношението на осъдените и санкционирани лица с влязъл в сила съдебен акт през 2024 г.- 820, спрямо всички осъдени и санкционирани и оправдани 869 лица  е било </w:t>
      </w:r>
      <w:r>
        <w:rPr>
          <w:rFonts w:ascii="Times New Roman" w:eastAsia="Times New Roman" w:hAnsi="Times New Roman" w:cs="Times New Roman"/>
          <w:color w:val="000000"/>
          <w:sz w:val="28"/>
          <w:szCs w:val="28"/>
          <w:lang w:val="en-US"/>
        </w:rPr>
        <w:t>9</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36 %. Съотношението на осъдените и санкционирани лица с влязъл в сила съдебен акт през 2023 г.- 809, спрямо всички осъдени и санкционирани и оправдани 852 лица  е било </w:t>
      </w:r>
      <w:r>
        <w:rPr>
          <w:rFonts w:ascii="Times New Roman" w:eastAsia="Times New Roman" w:hAnsi="Times New Roman" w:cs="Times New Roman"/>
          <w:color w:val="000000"/>
          <w:sz w:val="28"/>
          <w:szCs w:val="28"/>
          <w:lang w:val="en-US"/>
        </w:rPr>
        <w:t>9</w:t>
      </w:r>
      <w:r>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95 %.</w:t>
      </w:r>
    </w:p>
    <w:p w14:paraId="5C72D0CB"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3BC0E5B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p>
    <w:p w14:paraId="7238B15B" w14:textId="77777777" w:rsidR="00660716" w:rsidRDefault="00660716" w:rsidP="00660716">
      <w:pPr>
        <w:shd w:val="clear" w:color="auto" w:fill="FFFFFF"/>
        <w:tabs>
          <w:tab w:val="left" w:pos="426"/>
        </w:tabs>
        <w:suppressAutoHyphens/>
        <w:spacing w:after="0" w:line="240" w:lineRule="auto"/>
        <w:ind w:left="-567" w:right="-42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 прокуратури данните са следните:</w:t>
      </w:r>
    </w:p>
    <w:p w14:paraId="03F8EC25" w14:textId="77777777" w:rsidR="00660716" w:rsidRDefault="00660716" w:rsidP="00660716">
      <w:pPr>
        <w:shd w:val="clear" w:color="auto" w:fill="FFFFFF"/>
        <w:tabs>
          <w:tab w:val="left" w:pos="426"/>
        </w:tabs>
        <w:suppressAutoHyphens/>
        <w:spacing w:after="0" w:line="240" w:lineRule="auto"/>
        <w:ind w:left="-567" w:right="-427" w:firstLine="567"/>
        <w:rPr>
          <w:rFonts w:ascii="Times New Roman" w:eastAsia="Times New Roman" w:hAnsi="Times New Roman" w:cs="Times New Roman"/>
          <w:sz w:val="28"/>
          <w:szCs w:val="28"/>
        </w:rPr>
      </w:pPr>
    </w:p>
    <w:tbl>
      <w:tblPr>
        <w:tblW w:w="9640" w:type="dxa"/>
        <w:tblInd w:w="-176" w:type="dxa"/>
        <w:tblCellMar>
          <w:left w:w="10" w:type="dxa"/>
          <w:right w:w="10" w:type="dxa"/>
        </w:tblCellMar>
        <w:tblLook w:val="04A0" w:firstRow="1" w:lastRow="0" w:firstColumn="1" w:lastColumn="0" w:noHBand="0" w:noVBand="1"/>
      </w:tblPr>
      <w:tblGrid>
        <w:gridCol w:w="2049"/>
        <w:gridCol w:w="1833"/>
        <w:gridCol w:w="2063"/>
        <w:gridCol w:w="1852"/>
        <w:gridCol w:w="1843"/>
      </w:tblGrid>
      <w:tr w:rsidR="00660716" w14:paraId="33DD7217" w14:textId="77777777" w:rsidTr="00660716">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F87F31F"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ПРОКУРАТУРА</w:t>
            </w:r>
          </w:p>
        </w:tc>
        <w:tc>
          <w:tcPr>
            <w:tcW w:w="18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D86E87F"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Общо осъдени и</w:t>
            </w:r>
          </w:p>
          <w:p w14:paraId="5B9209E8"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санкционирани </w:t>
            </w:r>
          </w:p>
          <w:p w14:paraId="0C92E4D9"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лица</w:t>
            </w:r>
          </w:p>
        </w:tc>
        <w:tc>
          <w:tcPr>
            <w:tcW w:w="2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A620AF5"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Осъдени и </w:t>
            </w:r>
          </w:p>
          <w:p w14:paraId="1E4B46B4"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санкционирани </w:t>
            </w:r>
          </w:p>
          <w:p w14:paraId="48E417DE"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лица с влезли в </w:t>
            </w:r>
          </w:p>
          <w:p w14:paraId="71748D7E"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сила  присъди/</w:t>
            </w:r>
          </w:p>
          <w:p w14:paraId="1F64FF8E"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решения </w:t>
            </w:r>
          </w:p>
        </w:tc>
        <w:tc>
          <w:tcPr>
            <w:tcW w:w="18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00ACA9E8"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 Оправдани лица</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AFEC90C"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 Оправдани лица, </w:t>
            </w:r>
          </w:p>
          <w:p w14:paraId="1B73D22A"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 с влезли в сила </w:t>
            </w:r>
          </w:p>
          <w:p w14:paraId="45525D90"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 оправдателни</w:t>
            </w:r>
          </w:p>
          <w:p w14:paraId="03DC4205"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 xml:space="preserve"> присъди/решения </w:t>
            </w:r>
          </w:p>
        </w:tc>
      </w:tr>
      <w:tr w:rsidR="00660716" w14:paraId="7666AE74" w14:textId="77777777" w:rsidTr="00660716">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16E9FA4"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ОП- Пазарджик</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EF34C4"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68</w:t>
            </w:r>
          </w:p>
        </w:tc>
        <w:tc>
          <w:tcPr>
            <w:tcW w:w="2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42C8030B"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lang w:eastAsia="en-US"/>
              </w:rPr>
              <w:t xml:space="preserve">  58</w:t>
            </w:r>
          </w:p>
        </w:tc>
        <w:tc>
          <w:tcPr>
            <w:tcW w:w="1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0E298D8C"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6B27F173"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 xml:space="preserve"> 2</w:t>
            </w:r>
          </w:p>
        </w:tc>
      </w:tr>
      <w:tr w:rsidR="00660716" w14:paraId="49E4FC5B" w14:textId="77777777" w:rsidTr="00660716">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5C3F84B6"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РП- Пазарджик</w:t>
            </w:r>
          </w:p>
        </w:tc>
        <w:tc>
          <w:tcPr>
            <w:tcW w:w="1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D31B9A" w14:textId="77777777" w:rsidR="00660716" w:rsidRDefault="00660716">
            <w:pPr>
              <w:tabs>
                <w:tab w:val="left" w:pos="426"/>
              </w:tabs>
              <w:spacing w:after="0"/>
              <w:ind w:left="-567" w:right="-427" w:firstLine="567"/>
              <w:rPr>
                <w:rFonts w:ascii="Times New Roman" w:eastAsia="Times New Roman" w:hAnsi="Times New Roman" w:cs="Times New Roman"/>
                <w:lang w:val="en-US" w:eastAsia="en-US"/>
              </w:rPr>
            </w:pPr>
            <w:r>
              <w:rPr>
                <w:rFonts w:ascii="Times New Roman" w:eastAsia="Times New Roman" w:hAnsi="Times New Roman" w:cs="Times New Roman"/>
                <w:lang w:eastAsia="en-US"/>
              </w:rPr>
              <w:t>791</w:t>
            </w:r>
          </w:p>
        </w:tc>
        <w:tc>
          <w:tcPr>
            <w:tcW w:w="20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CD6A27C" w14:textId="77777777" w:rsidR="00660716" w:rsidRDefault="00660716">
            <w:pPr>
              <w:tabs>
                <w:tab w:val="left" w:pos="426"/>
              </w:tabs>
              <w:spacing w:after="0"/>
              <w:ind w:left="-567" w:right="-427" w:firstLine="567"/>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740</w:t>
            </w:r>
          </w:p>
        </w:tc>
        <w:tc>
          <w:tcPr>
            <w:tcW w:w="18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11244A17" w14:textId="77777777" w:rsidR="00660716" w:rsidRDefault="00660716">
            <w:pPr>
              <w:tabs>
                <w:tab w:val="left" w:pos="426"/>
              </w:tabs>
              <w:spacing w:after="0"/>
              <w:ind w:left="-567" w:right="-427" w:firstLine="567"/>
              <w:rPr>
                <w:rFonts w:ascii="Times New Roman" w:eastAsia="Times New Roman" w:hAnsi="Times New Roman" w:cs="Times New Roman"/>
                <w:lang w:val="en-US" w:eastAsia="en-US"/>
              </w:rPr>
            </w:pPr>
            <w:r>
              <w:rPr>
                <w:rFonts w:ascii="Times New Roman" w:eastAsia="Times New Roman" w:hAnsi="Times New Roman" w:cs="Times New Roman"/>
                <w:lang w:eastAsia="en-US"/>
              </w:rPr>
              <w:t>17</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14:paraId="383AFC11" w14:textId="77777777" w:rsidR="00660716" w:rsidRDefault="00660716">
            <w:pPr>
              <w:tabs>
                <w:tab w:val="left" w:pos="426"/>
              </w:tabs>
              <w:spacing w:after="0"/>
              <w:ind w:left="-567" w:right="-427" w:firstLine="567"/>
              <w:rPr>
                <w:rFonts w:ascii="Times New Roman" w:eastAsia="Times New Roman" w:hAnsi="Times New Roman" w:cs="Times New Roman"/>
                <w:lang w:eastAsia="en-US"/>
              </w:rPr>
            </w:pPr>
            <w:r>
              <w:rPr>
                <w:rFonts w:ascii="Times New Roman" w:eastAsia="Times New Roman" w:hAnsi="Times New Roman" w:cs="Times New Roman"/>
                <w:lang w:eastAsia="en-US"/>
              </w:rPr>
              <w:t>14</w:t>
            </w:r>
          </w:p>
        </w:tc>
      </w:tr>
      <w:tr w:rsidR="00660716" w14:paraId="1EA83A0C" w14:textId="77777777" w:rsidTr="00660716">
        <w:trPr>
          <w:trHeight w:val="1"/>
        </w:trPr>
        <w:tc>
          <w:tcPr>
            <w:tcW w:w="204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hideMark/>
          </w:tcPr>
          <w:p w14:paraId="70B20346"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ОБЩО:</w:t>
            </w:r>
          </w:p>
        </w:tc>
        <w:tc>
          <w:tcPr>
            <w:tcW w:w="18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14:paraId="78349AEC" w14:textId="77777777" w:rsidR="00660716" w:rsidRDefault="00660716">
            <w:pPr>
              <w:tabs>
                <w:tab w:val="left" w:pos="426"/>
              </w:tabs>
              <w:spacing w:after="0"/>
              <w:ind w:left="-567" w:right="-427" w:firstLine="567"/>
              <w:rPr>
                <w:rFonts w:ascii="Times New Roman" w:eastAsia="Times New Roman" w:hAnsi="Times New Roman" w:cs="Times New Roman"/>
                <w:b/>
                <w:lang w:val="en-US" w:eastAsia="en-US"/>
              </w:rPr>
            </w:pPr>
            <w:r>
              <w:rPr>
                <w:rFonts w:ascii="Times New Roman" w:eastAsia="Times New Roman" w:hAnsi="Times New Roman" w:cs="Times New Roman"/>
                <w:b/>
                <w:lang w:eastAsia="en-US"/>
              </w:rPr>
              <w:t>859</w:t>
            </w:r>
          </w:p>
        </w:tc>
        <w:tc>
          <w:tcPr>
            <w:tcW w:w="20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14:paraId="152851BD" w14:textId="77777777" w:rsidR="00660716" w:rsidRDefault="00660716">
            <w:pPr>
              <w:tabs>
                <w:tab w:val="left" w:pos="426"/>
              </w:tabs>
              <w:spacing w:after="0"/>
              <w:ind w:left="-567" w:right="-427" w:firstLine="567"/>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798</w:t>
            </w:r>
          </w:p>
        </w:tc>
        <w:tc>
          <w:tcPr>
            <w:tcW w:w="18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14:paraId="46D478D5"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20</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hideMark/>
          </w:tcPr>
          <w:p w14:paraId="602C4D8E" w14:textId="77777777" w:rsidR="00660716" w:rsidRDefault="00660716">
            <w:pPr>
              <w:tabs>
                <w:tab w:val="left" w:pos="426"/>
              </w:tabs>
              <w:spacing w:after="0"/>
              <w:ind w:left="-567" w:right="-427" w:firstLine="567"/>
              <w:rPr>
                <w:rFonts w:ascii="Times New Roman" w:eastAsia="Times New Roman" w:hAnsi="Times New Roman" w:cs="Times New Roman"/>
                <w:b/>
                <w:lang w:eastAsia="en-US"/>
              </w:rPr>
            </w:pPr>
            <w:r>
              <w:rPr>
                <w:rFonts w:ascii="Times New Roman" w:eastAsia="Times New Roman" w:hAnsi="Times New Roman" w:cs="Times New Roman"/>
                <w:b/>
                <w:lang w:eastAsia="en-US"/>
              </w:rPr>
              <w:t>16</w:t>
            </w:r>
          </w:p>
        </w:tc>
      </w:tr>
    </w:tbl>
    <w:p w14:paraId="36C7A2B2" w14:textId="77777777" w:rsidR="00660716" w:rsidRDefault="00660716" w:rsidP="00660716">
      <w:pPr>
        <w:tabs>
          <w:tab w:val="left" w:pos="426"/>
        </w:tabs>
        <w:suppressAutoHyphens/>
        <w:spacing w:after="0" w:line="240" w:lineRule="auto"/>
        <w:ind w:left="-567" w:right="-427" w:firstLine="567"/>
        <w:rPr>
          <w:rFonts w:ascii="Times New Roman" w:eastAsia="Times New Roman" w:hAnsi="Times New Roman" w:cs="Times New Roman"/>
          <w:b/>
          <w:sz w:val="28"/>
          <w:szCs w:val="28"/>
          <w:lang w:eastAsia="ar-SA"/>
        </w:rPr>
      </w:pPr>
    </w:p>
    <w:p w14:paraId="17BE1D4D" w14:textId="77777777" w:rsidR="00660716" w:rsidRDefault="00660716" w:rsidP="00660716">
      <w:pPr>
        <w:tabs>
          <w:tab w:val="left" w:pos="426"/>
        </w:tabs>
        <w:suppressAutoHyphens/>
        <w:spacing w:after="0" w:line="240" w:lineRule="auto"/>
        <w:ind w:left="-567" w:right="-427" w:firstLine="567"/>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lastRenderedPageBreak/>
        <w:t>2. Постановени оправдателни присъди и върнати от съда дела.</w:t>
      </w:r>
    </w:p>
    <w:p w14:paraId="7376C266" w14:textId="77777777" w:rsidR="00660716" w:rsidRDefault="00660716" w:rsidP="00660716">
      <w:pPr>
        <w:tabs>
          <w:tab w:val="left" w:pos="426"/>
        </w:tabs>
        <w:suppressAutoHyphens/>
        <w:spacing w:after="0" w:line="240" w:lineRule="auto"/>
        <w:ind w:left="-567" w:right="-427" w:firstLine="567"/>
        <w:contextualSpacing/>
        <w:rPr>
          <w:rFonts w:ascii="Times New Roman" w:eastAsia="Times New Roman" w:hAnsi="Times New Roman" w:cs="Times New Roman"/>
          <w:b/>
          <w:sz w:val="28"/>
          <w:szCs w:val="28"/>
          <w:lang w:eastAsia="ar-SA"/>
        </w:rPr>
      </w:pPr>
    </w:p>
    <w:p w14:paraId="2E0CC26F"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lang w:eastAsia="ar-SA"/>
        </w:rPr>
        <w:t>2.1. Постановени оправдателни присъди.</w:t>
      </w:r>
    </w:p>
    <w:p w14:paraId="3A8BEE1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lang w:eastAsia="ar-SA"/>
        </w:rPr>
      </w:pPr>
    </w:p>
    <w:p w14:paraId="253908E6"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отчетната 2025 г. общо постановените от съда оправдателни присъди/решения са 18, по които са оправдани 20 лица, през 2024 общо постановените от съда оправдателни присъди/решения са били 19, по които са били   оправдани 23 лица, а през 2023 г.- 16 оправдателни акта, по които са били оправдани 18 лица.  </w:t>
      </w:r>
    </w:p>
    <w:p w14:paraId="181729A9"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През отчетната 2025 г. общо постановените от съда влезли в сила оправдателни присъди/решения са 15, по които са оправдани 16 лица, по прокуратури, както следва: Окръжна прокуратура- Пазарджик- 2 влезли в сила оправдателни присъди, по които са оправдани 2 лица и Районна прокуратура- Пазарджик- 13 влезли в сила оправдателни присъди/решения, по които са оправдани 14 лица.</w:t>
      </w:r>
    </w:p>
    <w:p w14:paraId="4BA60485"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lang w:eastAsia="ar-SA"/>
        </w:rPr>
      </w:pPr>
      <w:r>
        <w:rPr>
          <w:rFonts w:ascii="Times New Roman" w:eastAsia="Times New Roman" w:hAnsi="Times New Roman" w:cs="Times New Roman"/>
          <w:sz w:val="28"/>
          <w:szCs w:val="28"/>
          <w:lang w:eastAsia="ar-SA"/>
        </w:rPr>
        <w:t xml:space="preserve">През предходната 2024 г. постановените влезли в сила оправдателни присъди/решения са били също 15, по които са били оправдани 16 лица, а през 2023 г. тези присъди/решения са били 17, по които са били оправдани 22 лица.     </w:t>
      </w:r>
      <w:r>
        <w:rPr>
          <w:rFonts w:ascii="Times New Roman" w:eastAsia="Times New Roman" w:hAnsi="Times New Roman" w:cs="Times New Roman"/>
          <w:i/>
          <w:sz w:val="28"/>
          <w:szCs w:val="28"/>
          <w:lang w:eastAsia="ar-SA"/>
        </w:rPr>
        <w:t xml:space="preserve"> </w:t>
      </w:r>
    </w:p>
    <w:p w14:paraId="3B085123"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През настоящата отчетна година съотношението на влезлите в сила 15 оправдателни присъди/решения спрямо общо постановените 819 осъдителни и санкционни актове е 1,83%, а спрямо общо постановените 861 съдебни решения съотношението е 1,74%.</w:t>
      </w:r>
    </w:p>
    <w:p w14:paraId="491D77FE" w14:textId="77777777" w:rsidR="00660716" w:rsidRDefault="00660716" w:rsidP="00660716">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 През</w:t>
      </w:r>
      <w:r>
        <w:rPr>
          <w:rFonts w:ascii="Times New Roman" w:eastAsia="Times New Roman" w:hAnsi="Times New Roman" w:cs="Times New Roman"/>
          <w:color w:val="000000"/>
          <w:sz w:val="28"/>
          <w:szCs w:val="28"/>
        </w:rPr>
        <w:t xml:space="preserve"> 2024 г. съотношението на оправдателните присъди/решения, влезли в сила</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 общо 15, спрямо осъдителните и </w:t>
      </w:r>
      <w:r>
        <w:rPr>
          <w:rFonts w:ascii="Times New Roman" w:eastAsia="Times New Roman" w:hAnsi="Times New Roman" w:cs="Times New Roman"/>
          <w:sz w:val="28"/>
          <w:szCs w:val="28"/>
        </w:rPr>
        <w:t>санкционни актове – 827 е било 1,81 %, а спрямо общо постановените съдебни решения 879 е било 1,71 %.</w:t>
      </w:r>
    </w:p>
    <w:p w14:paraId="0A9121AB"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През 2023 г. е имало 17 влезли в сила присъди/решения спрямо постановените тогава общо 805 осъдителни и санкционни актове, т. е.  </w:t>
      </w:r>
      <w:r>
        <w:rPr>
          <w:rFonts w:ascii="Times New Roman" w:eastAsia="Times New Roman" w:hAnsi="Times New Roman" w:cs="Times New Roman"/>
          <w:color w:val="000000"/>
          <w:sz w:val="28"/>
          <w:szCs w:val="28"/>
          <w:lang w:val="en-US"/>
        </w:rPr>
        <w:t>2,11%</w:t>
      </w:r>
      <w:r>
        <w:rPr>
          <w:rFonts w:ascii="Times New Roman" w:eastAsia="Times New Roman" w:hAnsi="Times New Roman" w:cs="Times New Roman"/>
          <w:color w:val="000000"/>
          <w:sz w:val="28"/>
          <w:szCs w:val="28"/>
        </w:rPr>
        <w:t xml:space="preserve">, а спрямо общо постановените 854 съдебни решения- </w:t>
      </w:r>
      <w:r>
        <w:rPr>
          <w:rFonts w:ascii="Times New Roman" w:eastAsia="Times New Roman" w:hAnsi="Times New Roman" w:cs="Times New Roman"/>
          <w:color w:val="000000"/>
          <w:sz w:val="28"/>
          <w:szCs w:val="28"/>
          <w:lang w:val="en-US"/>
        </w:rPr>
        <w:t>2 %.</w:t>
      </w:r>
    </w:p>
    <w:p w14:paraId="7CC56127"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bookmarkStart w:id="45" w:name="OLE_LINK48"/>
      <w:r>
        <w:rPr>
          <w:rFonts w:ascii="Times New Roman" w:eastAsia="Times New Roman" w:hAnsi="Times New Roman" w:cs="Times New Roman"/>
          <w:color w:val="000000" w:themeColor="text1"/>
          <w:sz w:val="28"/>
          <w:szCs w:val="28"/>
        </w:rPr>
        <w:t>Анализът на данните на постановените от съда влезли в сила оправдателни присъди/решения</w:t>
      </w:r>
      <w:r>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за 2025 г. сочи на стабилитет по този показател и изключително много нисък процент на постановените от съда и влезли в сила оправдателни актове.</w:t>
      </w:r>
    </w:p>
    <w:p w14:paraId="3B2D12AC"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Прокурорите от Пазарджишкия съдебен район са се справили изключително добре, тъй като е видно, че спрямо постановените съдебни решения броят на влезлите в сила оправдателни присъди/решения е нисък и процентът е пренебрежимо малък.</w:t>
      </w:r>
    </w:p>
    <w:p w14:paraId="4B3233EA"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rPr>
        <w:t>Данните сочат на продължаваща тенденция през последните години за стойности на влезлите в сила оправдателни присъди и решения до 2%, който показател, отразен обективно не може да доведе до извод за негативна работа на прокурорите от Окръжна прокуратура- Пазарджик и Районна прокуратура- Пазарджик, напротив- следва да бъде отчетено в положителен аспект.</w:t>
      </w:r>
    </w:p>
    <w:bookmarkEnd w:id="45"/>
    <w:p w14:paraId="5FFE7345" w14:textId="77777777" w:rsidR="00660716" w:rsidRDefault="00660716" w:rsidP="00660716">
      <w:pPr>
        <w:widowControl w:val="0"/>
        <w:spacing w:after="0" w:line="240" w:lineRule="auto"/>
        <w:ind w:left="-567" w:right="-426" w:firstLine="567"/>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sz w:val="28"/>
          <w:szCs w:val="28"/>
          <w:lang w:eastAsia="en-US"/>
        </w:rPr>
        <w:t xml:space="preserve">Основно причините за постановените оправдателни присъди се дължат преобладаващо на неправилно квалифициране на деянието с обвинителния акт и в значителна степен на събиране на нови доказателства в съдебната фаза, които не са могли да бъдат установени на досъдебното производство. По отношение на постановените оправдателни съдебни актове от въззивна инстанция, се налага </w:t>
      </w:r>
      <w:r>
        <w:rPr>
          <w:rFonts w:ascii="Times New Roman" w:eastAsia="Times New Roman" w:hAnsi="Times New Roman" w:cs="Times New Roman"/>
          <w:sz w:val="28"/>
          <w:szCs w:val="28"/>
          <w:lang w:eastAsia="en-US"/>
        </w:rPr>
        <w:lastRenderedPageBreak/>
        <w:t>извод, че съдебните състави са направили различен анализ на доказателствения материал и правни изводи, при почти идентична фактическа обстановка, респ. в хода на съдебното следствие пред въззивната инстанция са били събрани нови доказателства.</w:t>
      </w:r>
    </w:p>
    <w:p w14:paraId="3F99010C"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color w:val="000000"/>
          <w:sz w:val="28"/>
          <w:szCs w:val="28"/>
          <w:lang w:eastAsia="ar-SA"/>
        </w:rPr>
        <w:t xml:space="preserve">ПРИЛОЖЕНИЕ № 1 към доклада: Анализ на </w:t>
      </w:r>
      <w:r>
        <w:rPr>
          <w:rFonts w:ascii="Times New Roman" w:eastAsia="Times New Roman" w:hAnsi="Times New Roman" w:cs="Times New Roman"/>
          <w:sz w:val="28"/>
          <w:szCs w:val="28"/>
          <w:lang w:eastAsia="ar-SA"/>
        </w:rPr>
        <w:t xml:space="preserve">влезлите в сила през 2025 г. оправдателни присъди/решения. </w:t>
      </w:r>
    </w:p>
    <w:p w14:paraId="6BCA012C"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lang w:eastAsia="ar-SA"/>
        </w:rPr>
      </w:pPr>
      <w:r>
        <w:rPr>
          <w:rFonts w:ascii="Times New Roman" w:eastAsia="Times New Roman" w:hAnsi="Times New Roman" w:cs="Times New Roman"/>
          <w:color w:val="FF0000"/>
          <w:sz w:val="28"/>
          <w:szCs w:val="28"/>
          <w:lang w:eastAsia="ar-SA"/>
        </w:rPr>
        <w:t xml:space="preserve"> </w:t>
      </w:r>
    </w:p>
    <w:p w14:paraId="3F9BF0B1"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color w:val="000000"/>
          <w:sz w:val="28"/>
          <w:szCs w:val="28"/>
          <w:lang w:eastAsia="ar-SA"/>
        </w:rPr>
      </w:pPr>
      <w:r>
        <w:rPr>
          <w:rFonts w:ascii="Times New Roman" w:eastAsia="Times New Roman" w:hAnsi="Times New Roman" w:cs="Times New Roman"/>
          <w:i/>
          <w:color w:val="000000"/>
          <w:sz w:val="28"/>
          <w:szCs w:val="28"/>
          <w:lang w:eastAsia="ar-SA"/>
        </w:rPr>
        <w:t>2.2. Оправдани лица.</w:t>
      </w:r>
    </w:p>
    <w:p w14:paraId="5C6D8BF1"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lang w:eastAsia="ar-SA"/>
        </w:rPr>
      </w:pPr>
    </w:p>
    <w:p w14:paraId="719E8DFD"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отчетната 2025 г. оправданите лица са 20 - с 3 по-малко в сравнение с 2024 г., съответно с 2 повече в сравнение с 2023 г.  Съотношението на оправданите към осъдените и санкционирани лица е 2,33% , 2,72% за 2024 г. и 2,16% за 2023 г. </w:t>
      </w:r>
    </w:p>
    <w:p w14:paraId="6ABA2343"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01E7A107" w14:textId="77777777" w:rsidR="00660716" w:rsidRDefault="00660716" w:rsidP="00660716">
      <w:pPr>
        <w:tabs>
          <w:tab w:val="left" w:pos="426"/>
        </w:tabs>
        <w:suppressAutoHyphens/>
        <w:spacing w:after="0" w:line="240" w:lineRule="auto"/>
        <w:ind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noProof/>
          <w:sz w:val="28"/>
          <w:szCs w:val="28"/>
        </w:rPr>
        <w:drawing>
          <wp:inline distT="0" distB="0" distL="0" distR="0" wp14:anchorId="27002F20" wp14:editId="4D1CB2C5">
            <wp:extent cx="4572000" cy="3432175"/>
            <wp:effectExtent l="0" t="0" r="0" b="0"/>
            <wp:docPr id="20" name="Картина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14:paraId="2E193B4C"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19049D78"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6119BA51" w14:textId="77777777" w:rsidR="00660716" w:rsidRDefault="00660716" w:rsidP="00660716">
      <w:pPr>
        <w:ind w:left="-567" w:firstLine="567"/>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По прокуратури оправданите лица са:</w:t>
      </w:r>
    </w:p>
    <w:tbl>
      <w:tblPr>
        <w:tblW w:w="10770" w:type="dxa"/>
        <w:tblInd w:w="-639" w:type="dxa"/>
        <w:tblLayout w:type="fixed"/>
        <w:tblCellMar>
          <w:left w:w="70" w:type="dxa"/>
          <w:right w:w="70" w:type="dxa"/>
        </w:tblCellMar>
        <w:tblLook w:val="04A0" w:firstRow="1" w:lastRow="0" w:firstColumn="1" w:lastColumn="0" w:noHBand="0" w:noVBand="1"/>
      </w:tblPr>
      <w:tblGrid>
        <w:gridCol w:w="1701"/>
        <w:gridCol w:w="1416"/>
        <w:gridCol w:w="992"/>
        <w:gridCol w:w="567"/>
        <w:gridCol w:w="1417"/>
        <w:gridCol w:w="992"/>
        <w:gridCol w:w="709"/>
        <w:gridCol w:w="1416"/>
        <w:gridCol w:w="993"/>
        <w:gridCol w:w="567"/>
      </w:tblGrid>
      <w:tr w:rsidR="00660716" w14:paraId="72AD26A2" w14:textId="77777777" w:rsidTr="00660716">
        <w:trPr>
          <w:trHeight w:val="330"/>
        </w:trPr>
        <w:tc>
          <w:tcPr>
            <w:tcW w:w="1702" w:type="dxa"/>
            <w:vMerge w:val="restart"/>
            <w:tcBorders>
              <w:top w:val="single" w:sz="4" w:space="0" w:color="auto"/>
              <w:left w:val="single" w:sz="4" w:space="0" w:color="auto"/>
              <w:bottom w:val="single" w:sz="4" w:space="0" w:color="auto"/>
              <w:right w:val="single" w:sz="4" w:space="0" w:color="auto"/>
            </w:tcBorders>
            <w:noWrap/>
            <w:vAlign w:val="center"/>
            <w:hideMark/>
          </w:tcPr>
          <w:p w14:paraId="330D9855" w14:textId="77777777" w:rsidR="00660716" w:rsidRDefault="00660716">
            <w:pPr>
              <w:pStyle w:val="a4"/>
              <w:spacing w:line="276" w:lineRule="auto"/>
              <w:ind w:left="-567"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ПРОКУРАТУ</w:t>
            </w:r>
          </w:p>
          <w:p w14:paraId="2B99C5BA" w14:textId="77777777" w:rsidR="00660716" w:rsidRDefault="00660716">
            <w:pPr>
              <w:pStyle w:val="a4"/>
              <w:spacing w:line="276" w:lineRule="auto"/>
              <w:ind w:left="-567" w:firstLine="567"/>
              <w:rPr>
                <w:rFonts w:eastAsia="Times New Roman"/>
                <w:sz w:val="24"/>
                <w:szCs w:val="24"/>
              </w:rPr>
            </w:pPr>
            <w:r>
              <w:rPr>
                <w:rFonts w:ascii="Times New Roman" w:eastAsia="Times New Roman" w:hAnsi="Times New Roman" w:cs="Times New Roman"/>
                <w:b/>
                <w:sz w:val="24"/>
                <w:szCs w:val="24"/>
              </w:rPr>
              <w:t>РА</w:t>
            </w:r>
          </w:p>
        </w:tc>
        <w:tc>
          <w:tcPr>
            <w:tcW w:w="2976" w:type="dxa"/>
            <w:gridSpan w:val="3"/>
            <w:tcBorders>
              <w:top w:val="single" w:sz="4" w:space="0" w:color="auto"/>
              <w:left w:val="nil"/>
              <w:bottom w:val="single" w:sz="4" w:space="0" w:color="auto"/>
              <w:right w:val="single" w:sz="4" w:space="0" w:color="auto"/>
            </w:tcBorders>
            <w:vAlign w:val="center"/>
            <w:hideMark/>
          </w:tcPr>
          <w:p w14:paraId="45434A09" w14:textId="77777777" w:rsidR="00660716" w:rsidRDefault="00660716">
            <w:pPr>
              <w:ind w:left="-567"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2025г.</w:t>
            </w:r>
          </w:p>
        </w:tc>
        <w:tc>
          <w:tcPr>
            <w:tcW w:w="3119" w:type="dxa"/>
            <w:gridSpan w:val="3"/>
            <w:tcBorders>
              <w:top w:val="single" w:sz="4" w:space="0" w:color="auto"/>
              <w:left w:val="nil"/>
              <w:bottom w:val="single" w:sz="4" w:space="0" w:color="auto"/>
              <w:right w:val="single" w:sz="4" w:space="0" w:color="auto"/>
            </w:tcBorders>
            <w:vAlign w:val="center"/>
            <w:hideMark/>
          </w:tcPr>
          <w:p w14:paraId="417C1077" w14:textId="77777777" w:rsidR="00660716" w:rsidRDefault="00660716">
            <w:pPr>
              <w:ind w:left="-567"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2024г.</w:t>
            </w:r>
          </w:p>
        </w:tc>
        <w:tc>
          <w:tcPr>
            <w:tcW w:w="2977" w:type="dxa"/>
            <w:gridSpan w:val="3"/>
            <w:tcBorders>
              <w:top w:val="single" w:sz="4" w:space="0" w:color="auto"/>
              <w:left w:val="nil"/>
              <w:bottom w:val="single" w:sz="4" w:space="0" w:color="auto"/>
              <w:right w:val="single" w:sz="4" w:space="0" w:color="auto"/>
            </w:tcBorders>
            <w:vAlign w:val="center"/>
            <w:hideMark/>
          </w:tcPr>
          <w:p w14:paraId="4F906CDC" w14:textId="77777777" w:rsidR="00660716" w:rsidRDefault="00660716">
            <w:pPr>
              <w:ind w:left="-567"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2023 г.</w:t>
            </w:r>
          </w:p>
        </w:tc>
      </w:tr>
      <w:tr w:rsidR="00660716" w14:paraId="2CAA0D9E" w14:textId="77777777" w:rsidTr="00660716">
        <w:trPr>
          <w:trHeight w:val="1245"/>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77B01893" w14:textId="77777777" w:rsidR="00660716" w:rsidRDefault="00660716">
            <w:pPr>
              <w:spacing w:after="0" w:line="240" w:lineRule="auto"/>
              <w:rPr>
                <w:rFonts w:eastAsia="Times New Roman"/>
                <w:sz w:val="24"/>
                <w:szCs w:val="24"/>
              </w:rPr>
            </w:pPr>
          </w:p>
        </w:tc>
        <w:tc>
          <w:tcPr>
            <w:tcW w:w="1417" w:type="dxa"/>
            <w:vMerge w:val="restart"/>
            <w:tcBorders>
              <w:top w:val="nil"/>
              <w:left w:val="single" w:sz="4" w:space="0" w:color="auto"/>
              <w:bottom w:val="single" w:sz="4" w:space="0" w:color="auto"/>
              <w:right w:val="single" w:sz="4" w:space="0" w:color="auto"/>
            </w:tcBorders>
            <w:vAlign w:val="center"/>
            <w:hideMark/>
          </w:tcPr>
          <w:p w14:paraId="39ABA5D4" w14:textId="77777777" w:rsidR="00660716" w:rsidRDefault="0066071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Осъдени  и санкционирани лица</w:t>
            </w:r>
          </w:p>
        </w:tc>
        <w:tc>
          <w:tcPr>
            <w:tcW w:w="992" w:type="dxa"/>
            <w:vMerge w:val="restart"/>
            <w:tcBorders>
              <w:top w:val="nil"/>
              <w:left w:val="single" w:sz="4" w:space="0" w:color="auto"/>
              <w:bottom w:val="single" w:sz="4" w:space="0" w:color="auto"/>
              <w:right w:val="single" w:sz="4" w:space="0" w:color="auto"/>
            </w:tcBorders>
            <w:vAlign w:val="center"/>
            <w:hideMark/>
          </w:tcPr>
          <w:p w14:paraId="09059B8C" w14:textId="77777777" w:rsidR="00660716" w:rsidRDefault="00660716">
            <w:pPr>
              <w:ind w:firstLine="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Оправдани лица</w:t>
            </w:r>
          </w:p>
        </w:tc>
        <w:tc>
          <w:tcPr>
            <w:tcW w:w="567" w:type="dxa"/>
            <w:vMerge w:val="restart"/>
            <w:tcBorders>
              <w:top w:val="nil"/>
              <w:left w:val="single" w:sz="4" w:space="0" w:color="auto"/>
              <w:bottom w:val="single" w:sz="4" w:space="0" w:color="auto"/>
              <w:right w:val="single" w:sz="4" w:space="0" w:color="auto"/>
            </w:tcBorders>
            <w:vAlign w:val="center"/>
            <w:hideMark/>
          </w:tcPr>
          <w:p w14:paraId="372D020E" w14:textId="77777777" w:rsidR="00660716" w:rsidRDefault="0066071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418" w:type="dxa"/>
            <w:vMerge w:val="restart"/>
            <w:tcBorders>
              <w:top w:val="nil"/>
              <w:left w:val="single" w:sz="4" w:space="0" w:color="auto"/>
              <w:bottom w:val="single" w:sz="4" w:space="0" w:color="auto"/>
              <w:right w:val="single" w:sz="4" w:space="0" w:color="auto"/>
            </w:tcBorders>
            <w:vAlign w:val="center"/>
            <w:hideMark/>
          </w:tcPr>
          <w:p w14:paraId="54B4B5C4" w14:textId="77777777" w:rsidR="00660716" w:rsidRDefault="00660716">
            <w:pPr>
              <w:ind w:hanging="7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Осъдени и санкционирани лица</w:t>
            </w:r>
          </w:p>
        </w:tc>
        <w:tc>
          <w:tcPr>
            <w:tcW w:w="992" w:type="dxa"/>
            <w:vMerge w:val="restart"/>
            <w:tcBorders>
              <w:top w:val="nil"/>
              <w:left w:val="single" w:sz="4" w:space="0" w:color="auto"/>
              <w:bottom w:val="single" w:sz="4" w:space="0" w:color="auto"/>
              <w:right w:val="single" w:sz="4" w:space="0" w:color="auto"/>
            </w:tcBorders>
            <w:vAlign w:val="center"/>
            <w:hideMark/>
          </w:tcPr>
          <w:p w14:paraId="33AE0283" w14:textId="77777777" w:rsidR="00660716" w:rsidRDefault="00660716">
            <w:pPr>
              <w:ind w:firstLine="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Оправдани лица</w:t>
            </w:r>
          </w:p>
        </w:tc>
        <w:tc>
          <w:tcPr>
            <w:tcW w:w="709" w:type="dxa"/>
            <w:vMerge w:val="restart"/>
            <w:tcBorders>
              <w:top w:val="nil"/>
              <w:left w:val="single" w:sz="4" w:space="0" w:color="auto"/>
              <w:bottom w:val="single" w:sz="4" w:space="0" w:color="auto"/>
              <w:right w:val="single" w:sz="4" w:space="0" w:color="auto"/>
            </w:tcBorders>
            <w:vAlign w:val="center"/>
            <w:hideMark/>
          </w:tcPr>
          <w:p w14:paraId="35A31B0E" w14:textId="77777777" w:rsidR="00660716" w:rsidRDefault="0066071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417" w:type="dxa"/>
            <w:vMerge w:val="restart"/>
            <w:tcBorders>
              <w:top w:val="nil"/>
              <w:left w:val="single" w:sz="4" w:space="0" w:color="auto"/>
              <w:bottom w:val="single" w:sz="4" w:space="0" w:color="auto"/>
              <w:right w:val="single" w:sz="4" w:space="0" w:color="auto"/>
            </w:tcBorders>
            <w:vAlign w:val="center"/>
            <w:hideMark/>
          </w:tcPr>
          <w:p w14:paraId="4D51BC28" w14:textId="77777777" w:rsidR="00660716" w:rsidRDefault="00660716">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Осъдени и санкционирани лица</w:t>
            </w:r>
          </w:p>
        </w:tc>
        <w:tc>
          <w:tcPr>
            <w:tcW w:w="993" w:type="dxa"/>
            <w:vMerge w:val="restart"/>
            <w:tcBorders>
              <w:top w:val="nil"/>
              <w:left w:val="single" w:sz="4" w:space="0" w:color="auto"/>
              <w:bottom w:val="single" w:sz="4" w:space="0" w:color="000000"/>
              <w:right w:val="single" w:sz="4" w:space="0" w:color="auto"/>
            </w:tcBorders>
            <w:vAlign w:val="center"/>
            <w:hideMark/>
          </w:tcPr>
          <w:p w14:paraId="53AC1CBA" w14:textId="77777777" w:rsidR="00660716" w:rsidRDefault="00660716">
            <w:pPr>
              <w:ind w:firstLine="7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Оправдани лица</w:t>
            </w:r>
          </w:p>
        </w:tc>
        <w:tc>
          <w:tcPr>
            <w:tcW w:w="567" w:type="dxa"/>
            <w:vMerge w:val="restart"/>
            <w:tcBorders>
              <w:top w:val="nil"/>
              <w:left w:val="single" w:sz="4" w:space="0" w:color="auto"/>
              <w:bottom w:val="single" w:sz="4" w:space="0" w:color="auto"/>
              <w:right w:val="single" w:sz="4" w:space="0" w:color="auto"/>
            </w:tcBorders>
            <w:vAlign w:val="center"/>
            <w:hideMark/>
          </w:tcPr>
          <w:p w14:paraId="0CD6EF61" w14:textId="77777777" w:rsidR="00660716" w:rsidRDefault="00660716">
            <w:pPr>
              <w:ind w:left="-567" w:firstLine="567"/>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660716" w14:paraId="0F89A2AE" w14:textId="77777777" w:rsidTr="00660716">
        <w:trPr>
          <w:trHeight w:val="570"/>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12D934C7" w14:textId="77777777" w:rsidR="00660716" w:rsidRDefault="00660716">
            <w:pPr>
              <w:spacing w:after="0" w:line="240" w:lineRule="auto"/>
              <w:rPr>
                <w:rFonts w:eastAsia="Times New Roman"/>
                <w:sz w:val="24"/>
                <w:szCs w:val="24"/>
              </w:rPr>
            </w:pPr>
          </w:p>
        </w:tc>
        <w:tc>
          <w:tcPr>
            <w:tcW w:w="2976" w:type="dxa"/>
            <w:vMerge/>
            <w:tcBorders>
              <w:top w:val="nil"/>
              <w:left w:val="single" w:sz="4" w:space="0" w:color="auto"/>
              <w:bottom w:val="single" w:sz="4" w:space="0" w:color="auto"/>
              <w:right w:val="single" w:sz="4" w:space="0" w:color="auto"/>
            </w:tcBorders>
            <w:vAlign w:val="center"/>
            <w:hideMark/>
          </w:tcPr>
          <w:p w14:paraId="31CA699F"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14:paraId="3D42BC7F"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14:paraId="444635C5"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3119" w:type="dxa"/>
            <w:vMerge/>
            <w:tcBorders>
              <w:top w:val="nil"/>
              <w:left w:val="single" w:sz="4" w:space="0" w:color="auto"/>
              <w:bottom w:val="single" w:sz="4" w:space="0" w:color="auto"/>
              <w:right w:val="single" w:sz="4" w:space="0" w:color="auto"/>
            </w:tcBorders>
            <w:vAlign w:val="center"/>
            <w:hideMark/>
          </w:tcPr>
          <w:p w14:paraId="5489940B"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992" w:type="dxa"/>
            <w:vMerge/>
            <w:tcBorders>
              <w:top w:val="nil"/>
              <w:left w:val="single" w:sz="4" w:space="0" w:color="auto"/>
              <w:bottom w:val="single" w:sz="4" w:space="0" w:color="auto"/>
              <w:right w:val="single" w:sz="4" w:space="0" w:color="auto"/>
            </w:tcBorders>
            <w:vAlign w:val="center"/>
            <w:hideMark/>
          </w:tcPr>
          <w:p w14:paraId="3D013CCB"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709" w:type="dxa"/>
            <w:vMerge/>
            <w:tcBorders>
              <w:top w:val="nil"/>
              <w:left w:val="single" w:sz="4" w:space="0" w:color="auto"/>
              <w:bottom w:val="single" w:sz="4" w:space="0" w:color="auto"/>
              <w:right w:val="single" w:sz="4" w:space="0" w:color="auto"/>
            </w:tcBorders>
            <w:vAlign w:val="center"/>
            <w:hideMark/>
          </w:tcPr>
          <w:p w14:paraId="73860691"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2977" w:type="dxa"/>
            <w:vMerge/>
            <w:tcBorders>
              <w:top w:val="nil"/>
              <w:left w:val="single" w:sz="4" w:space="0" w:color="auto"/>
              <w:bottom w:val="single" w:sz="4" w:space="0" w:color="auto"/>
              <w:right w:val="single" w:sz="4" w:space="0" w:color="auto"/>
            </w:tcBorders>
            <w:vAlign w:val="center"/>
            <w:hideMark/>
          </w:tcPr>
          <w:p w14:paraId="77B6EC2C"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993" w:type="dxa"/>
            <w:vMerge/>
            <w:tcBorders>
              <w:top w:val="nil"/>
              <w:left w:val="single" w:sz="4" w:space="0" w:color="auto"/>
              <w:bottom w:val="single" w:sz="4" w:space="0" w:color="000000"/>
              <w:right w:val="single" w:sz="4" w:space="0" w:color="auto"/>
            </w:tcBorders>
            <w:vAlign w:val="center"/>
            <w:hideMark/>
          </w:tcPr>
          <w:p w14:paraId="3F8F4BCC" w14:textId="77777777" w:rsidR="00660716" w:rsidRDefault="00660716">
            <w:pPr>
              <w:spacing w:after="0" w:line="240" w:lineRule="auto"/>
              <w:rPr>
                <w:rFonts w:ascii="Times New Roman" w:eastAsia="Times New Roman" w:hAnsi="Times New Roman" w:cs="Times New Roman"/>
                <w:b/>
                <w:bCs/>
                <w:color w:val="000000"/>
                <w:sz w:val="24"/>
                <w:szCs w:val="24"/>
              </w:rPr>
            </w:pPr>
          </w:p>
        </w:tc>
        <w:tc>
          <w:tcPr>
            <w:tcW w:w="567" w:type="dxa"/>
            <w:vMerge/>
            <w:tcBorders>
              <w:top w:val="nil"/>
              <w:left w:val="single" w:sz="4" w:space="0" w:color="auto"/>
              <w:bottom w:val="single" w:sz="4" w:space="0" w:color="auto"/>
              <w:right w:val="single" w:sz="4" w:space="0" w:color="auto"/>
            </w:tcBorders>
            <w:vAlign w:val="center"/>
            <w:hideMark/>
          </w:tcPr>
          <w:p w14:paraId="775B95AA" w14:textId="77777777" w:rsidR="00660716" w:rsidRDefault="00660716">
            <w:pPr>
              <w:spacing w:after="0" w:line="240" w:lineRule="auto"/>
              <w:rPr>
                <w:rFonts w:ascii="Times New Roman" w:eastAsia="Times New Roman" w:hAnsi="Times New Roman" w:cs="Times New Roman"/>
                <w:b/>
                <w:bCs/>
                <w:color w:val="000000"/>
                <w:sz w:val="24"/>
                <w:szCs w:val="24"/>
              </w:rPr>
            </w:pPr>
          </w:p>
        </w:tc>
      </w:tr>
      <w:tr w:rsidR="00660716" w14:paraId="49C74499" w14:textId="77777777" w:rsidTr="00660716">
        <w:trPr>
          <w:trHeight w:val="300"/>
        </w:trPr>
        <w:tc>
          <w:tcPr>
            <w:tcW w:w="1702" w:type="dxa"/>
            <w:tcBorders>
              <w:top w:val="nil"/>
              <w:left w:val="single" w:sz="4" w:space="0" w:color="auto"/>
              <w:bottom w:val="single" w:sz="4" w:space="0" w:color="auto"/>
              <w:right w:val="single" w:sz="4" w:space="0" w:color="auto"/>
            </w:tcBorders>
            <w:vAlign w:val="center"/>
            <w:hideMark/>
          </w:tcPr>
          <w:p w14:paraId="2E32B3DF" w14:textId="77777777" w:rsidR="00660716" w:rsidRDefault="00660716">
            <w:pPr>
              <w:ind w:left="-567"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ОП-Пазарджик</w:t>
            </w:r>
          </w:p>
        </w:tc>
        <w:tc>
          <w:tcPr>
            <w:tcW w:w="1417" w:type="dxa"/>
            <w:tcBorders>
              <w:top w:val="nil"/>
              <w:left w:val="nil"/>
              <w:bottom w:val="single" w:sz="4" w:space="0" w:color="auto"/>
              <w:right w:val="single" w:sz="4" w:space="0" w:color="auto"/>
            </w:tcBorders>
            <w:vAlign w:val="center"/>
            <w:hideMark/>
          </w:tcPr>
          <w:p w14:paraId="6A2B3080" w14:textId="77777777" w:rsidR="00660716" w:rsidRDefault="00660716">
            <w:pPr>
              <w:ind w:left="-567"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68</w:t>
            </w:r>
          </w:p>
        </w:tc>
        <w:tc>
          <w:tcPr>
            <w:tcW w:w="992" w:type="dxa"/>
            <w:tcBorders>
              <w:top w:val="nil"/>
              <w:left w:val="nil"/>
              <w:bottom w:val="single" w:sz="4" w:space="0" w:color="auto"/>
              <w:right w:val="single" w:sz="4" w:space="0" w:color="auto"/>
            </w:tcBorders>
            <w:vAlign w:val="center"/>
            <w:hideMark/>
          </w:tcPr>
          <w:p w14:paraId="15F08B13" w14:textId="77777777" w:rsidR="00660716" w:rsidRDefault="00660716">
            <w:pPr>
              <w:ind w:left="-567"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7" w:type="dxa"/>
            <w:tcBorders>
              <w:top w:val="nil"/>
              <w:left w:val="nil"/>
              <w:bottom w:val="single" w:sz="4" w:space="0" w:color="auto"/>
              <w:right w:val="single" w:sz="4" w:space="0" w:color="auto"/>
            </w:tcBorders>
            <w:vAlign w:val="center"/>
            <w:hideMark/>
          </w:tcPr>
          <w:p w14:paraId="481412F2" w14:textId="77777777" w:rsidR="00660716" w:rsidRDefault="00660716">
            <w:pPr>
              <w:ind w:left="-567" w:firstLine="567"/>
              <w:jc w:val="center"/>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4,41</w:t>
            </w:r>
          </w:p>
        </w:tc>
        <w:tc>
          <w:tcPr>
            <w:tcW w:w="1418" w:type="dxa"/>
            <w:tcBorders>
              <w:top w:val="nil"/>
              <w:left w:val="nil"/>
              <w:bottom w:val="single" w:sz="4" w:space="0" w:color="auto"/>
              <w:right w:val="single" w:sz="4" w:space="0" w:color="auto"/>
            </w:tcBorders>
            <w:hideMark/>
          </w:tcPr>
          <w:p w14:paraId="4527ACD9" w14:textId="77777777" w:rsidR="00660716" w:rsidRDefault="00660716">
            <w:pPr>
              <w:ind w:left="-567"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89</w:t>
            </w:r>
          </w:p>
        </w:tc>
        <w:tc>
          <w:tcPr>
            <w:tcW w:w="992" w:type="dxa"/>
            <w:tcBorders>
              <w:top w:val="nil"/>
              <w:left w:val="nil"/>
              <w:bottom w:val="single" w:sz="4" w:space="0" w:color="auto"/>
              <w:right w:val="single" w:sz="4" w:space="0" w:color="auto"/>
            </w:tcBorders>
            <w:hideMark/>
          </w:tcPr>
          <w:p w14:paraId="1E1EDFFE" w14:textId="77777777" w:rsidR="00660716" w:rsidRDefault="00660716">
            <w:pPr>
              <w:ind w:left="-567"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w:t>
            </w:r>
          </w:p>
        </w:tc>
        <w:tc>
          <w:tcPr>
            <w:tcW w:w="709" w:type="dxa"/>
            <w:tcBorders>
              <w:top w:val="nil"/>
              <w:left w:val="nil"/>
              <w:bottom w:val="single" w:sz="4" w:space="0" w:color="auto"/>
              <w:right w:val="single" w:sz="4" w:space="0" w:color="auto"/>
            </w:tcBorders>
            <w:hideMark/>
          </w:tcPr>
          <w:p w14:paraId="2183E0FA" w14:textId="77777777" w:rsidR="00660716" w:rsidRDefault="00660716">
            <w:pPr>
              <w:rPr>
                <w:rFonts w:ascii="Times New Roman" w:hAnsi="Times New Roman" w:cs="Times New Roman"/>
                <w:sz w:val="24"/>
                <w:szCs w:val="24"/>
              </w:rPr>
            </w:pPr>
            <w:r>
              <w:rPr>
                <w:rFonts w:ascii="Times New Roman" w:hAnsi="Times New Roman" w:cs="Times New Roman"/>
                <w:sz w:val="24"/>
                <w:szCs w:val="24"/>
              </w:rPr>
              <w:t>10,11</w:t>
            </w:r>
          </w:p>
        </w:tc>
        <w:tc>
          <w:tcPr>
            <w:tcW w:w="1417" w:type="dxa"/>
            <w:tcBorders>
              <w:top w:val="nil"/>
              <w:left w:val="nil"/>
              <w:bottom w:val="single" w:sz="4" w:space="0" w:color="auto"/>
              <w:right w:val="single" w:sz="4" w:space="0" w:color="auto"/>
            </w:tcBorders>
            <w:hideMark/>
          </w:tcPr>
          <w:p w14:paraId="5B5A9828" w14:textId="77777777" w:rsidR="00660716" w:rsidRDefault="00660716">
            <w:pPr>
              <w:ind w:left="-567"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95</w:t>
            </w:r>
          </w:p>
        </w:tc>
        <w:tc>
          <w:tcPr>
            <w:tcW w:w="993" w:type="dxa"/>
            <w:tcBorders>
              <w:top w:val="nil"/>
              <w:left w:val="nil"/>
              <w:bottom w:val="single" w:sz="4" w:space="0" w:color="auto"/>
              <w:right w:val="single" w:sz="4" w:space="0" w:color="auto"/>
            </w:tcBorders>
            <w:hideMark/>
          </w:tcPr>
          <w:p w14:paraId="3D8C1F5B" w14:textId="77777777" w:rsidR="00660716" w:rsidRDefault="00660716">
            <w:pPr>
              <w:ind w:left="-567"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567" w:type="dxa"/>
            <w:tcBorders>
              <w:top w:val="nil"/>
              <w:left w:val="nil"/>
              <w:bottom w:val="single" w:sz="4" w:space="0" w:color="auto"/>
              <w:right w:val="single" w:sz="4" w:space="0" w:color="auto"/>
            </w:tcBorders>
            <w:hideMark/>
          </w:tcPr>
          <w:p w14:paraId="439BC452" w14:textId="77777777" w:rsidR="00660716" w:rsidRDefault="00660716">
            <w:pPr>
              <w:ind w:left="-567" w:firstLine="567"/>
              <w:jc w:val="center"/>
              <w:rPr>
                <w:rFonts w:ascii="Times New Roman" w:eastAsia="Times New Roman" w:hAnsi="Times New Roman" w:cs="Times New Roman"/>
                <w:sz w:val="24"/>
                <w:szCs w:val="24"/>
                <w:lang w:val="en-AU" w:eastAsia="en-US"/>
              </w:rPr>
            </w:pPr>
            <w:r>
              <w:rPr>
                <w:rFonts w:ascii="Times New Roman" w:eastAsia="Times New Roman" w:hAnsi="Times New Roman" w:cs="Times New Roman"/>
                <w:sz w:val="24"/>
                <w:szCs w:val="24"/>
              </w:rPr>
              <w:t>5,26</w:t>
            </w:r>
          </w:p>
        </w:tc>
      </w:tr>
      <w:tr w:rsidR="00660716" w14:paraId="07CA17D6" w14:textId="77777777" w:rsidTr="00660716">
        <w:trPr>
          <w:trHeight w:val="300"/>
        </w:trPr>
        <w:tc>
          <w:tcPr>
            <w:tcW w:w="1702" w:type="dxa"/>
            <w:tcBorders>
              <w:top w:val="nil"/>
              <w:left w:val="single" w:sz="4" w:space="0" w:color="auto"/>
              <w:bottom w:val="single" w:sz="4" w:space="0" w:color="auto"/>
              <w:right w:val="single" w:sz="4" w:space="0" w:color="auto"/>
            </w:tcBorders>
            <w:vAlign w:val="center"/>
            <w:hideMark/>
          </w:tcPr>
          <w:p w14:paraId="7C9F6E01" w14:textId="77777777" w:rsidR="00660716" w:rsidRDefault="00660716">
            <w:pPr>
              <w:ind w:left="-567"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РП-Пазарджик</w:t>
            </w:r>
          </w:p>
        </w:tc>
        <w:tc>
          <w:tcPr>
            <w:tcW w:w="1417" w:type="dxa"/>
            <w:tcBorders>
              <w:top w:val="nil"/>
              <w:left w:val="nil"/>
              <w:bottom w:val="single" w:sz="4" w:space="0" w:color="auto"/>
              <w:right w:val="single" w:sz="4" w:space="0" w:color="auto"/>
            </w:tcBorders>
            <w:vAlign w:val="center"/>
            <w:hideMark/>
          </w:tcPr>
          <w:p w14:paraId="0B4C270F" w14:textId="77777777" w:rsidR="00660716" w:rsidRDefault="00660716">
            <w:pPr>
              <w:ind w:left="-567"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791</w:t>
            </w:r>
          </w:p>
        </w:tc>
        <w:tc>
          <w:tcPr>
            <w:tcW w:w="992" w:type="dxa"/>
            <w:tcBorders>
              <w:top w:val="nil"/>
              <w:left w:val="nil"/>
              <w:bottom w:val="single" w:sz="4" w:space="0" w:color="auto"/>
              <w:right w:val="single" w:sz="4" w:space="0" w:color="auto"/>
            </w:tcBorders>
            <w:vAlign w:val="center"/>
            <w:hideMark/>
          </w:tcPr>
          <w:p w14:paraId="03832652" w14:textId="77777777" w:rsidR="00660716" w:rsidRDefault="00660716">
            <w:pPr>
              <w:ind w:left="-567"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7" w:type="dxa"/>
            <w:tcBorders>
              <w:top w:val="nil"/>
              <w:left w:val="nil"/>
              <w:bottom w:val="single" w:sz="4" w:space="0" w:color="auto"/>
              <w:right w:val="single" w:sz="4" w:space="0" w:color="auto"/>
            </w:tcBorders>
            <w:vAlign w:val="center"/>
            <w:hideMark/>
          </w:tcPr>
          <w:p w14:paraId="5961D049" w14:textId="77777777" w:rsidR="00660716" w:rsidRDefault="00660716">
            <w:pPr>
              <w:ind w:left="-567"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w:t>
            </w:r>
          </w:p>
        </w:tc>
        <w:tc>
          <w:tcPr>
            <w:tcW w:w="1418" w:type="dxa"/>
            <w:tcBorders>
              <w:top w:val="nil"/>
              <w:left w:val="nil"/>
              <w:bottom w:val="single" w:sz="4" w:space="0" w:color="auto"/>
              <w:right w:val="single" w:sz="4" w:space="0" w:color="auto"/>
            </w:tcBorders>
            <w:hideMark/>
          </w:tcPr>
          <w:p w14:paraId="188058B6" w14:textId="77777777" w:rsidR="00660716" w:rsidRDefault="00660716">
            <w:pPr>
              <w:ind w:left="-567"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757</w:t>
            </w:r>
          </w:p>
        </w:tc>
        <w:tc>
          <w:tcPr>
            <w:tcW w:w="992" w:type="dxa"/>
            <w:tcBorders>
              <w:top w:val="nil"/>
              <w:left w:val="nil"/>
              <w:bottom w:val="single" w:sz="4" w:space="0" w:color="auto"/>
              <w:right w:val="single" w:sz="4" w:space="0" w:color="auto"/>
            </w:tcBorders>
            <w:hideMark/>
          </w:tcPr>
          <w:p w14:paraId="0ED80FF1" w14:textId="77777777" w:rsidR="00660716" w:rsidRDefault="00660716">
            <w:pPr>
              <w:ind w:left="-567"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14</w:t>
            </w:r>
          </w:p>
        </w:tc>
        <w:tc>
          <w:tcPr>
            <w:tcW w:w="709" w:type="dxa"/>
            <w:tcBorders>
              <w:top w:val="nil"/>
              <w:left w:val="nil"/>
              <w:bottom w:val="single" w:sz="4" w:space="0" w:color="auto"/>
              <w:right w:val="single" w:sz="4" w:space="0" w:color="auto"/>
            </w:tcBorders>
            <w:hideMark/>
          </w:tcPr>
          <w:p w14:paraId="11E85184" w14:textId="77777777" w:rsidR="00660716" w:rsidRDefault="00660716">
            <w:pPr>
              <w:rPr>
                <w:rFonts w:ascii="Times New Roman" w:hAnsi="Times New Roman" w:cs="Times New Roman"/>
                <w:sz w:val="24"/>
                <w:szCs w:val="24"/>
              </w:rPr>
            </w:pPr>
            <w:r>
              <w:rPr>
                <w:rFonts w:ascii="Times New Roman" w:hAnsi="Times New Roman" w:cs="Times New Roman"/>
                <w:sz w:val="24"/>
                <w:szCs w:val="24"/>
              </w:rPr>
              <w:t>1,85</w:t>
            </w:r>
          </w:p>
        </w:tc>
        <w:tc>
          <w:tcPr>
            <w:tcW w:w="1417" w:type="dxa"/>
            <w:tcBorders>
              <w:top w:val="nil"/>
              <w:left w:val="nil"/>
              <w:bottom w:val="single" w:sz="4" w:space="0" w:color="auto"/>
              <w:right w:val="single" w:sz="4" w:space="0" w:color="auto"/>
            </w:tcBorders>
            <w:hideMark/>
          </w:tcPr>
          <w:p w14:paraId="188BFAF0" w14:textId="77777777" w:rsidR="00660716" w:rsidRDefault="00660716">
            <w:pPr>
              <w:ind w:left="-567" w:firstLine="567"/>
              <w:jc w:val="center"/>
              <w:rPr>
                <w:rFonts w:ascii="Times New Roman" w:eastAsia="Times New Roman" w:hAnsi="Times New Roman" w:cs="Times New Roman"/>
                <w:sz w:val="24"/>
                <w:szCs w:val="24"/>
                <w:lang w:val="en-AU" w:eastAsia="en-US"/>
              </w:rPr>
            </w:pPr>
            <w:r>
              <w:rPr>
                <w:rFonts w:ascii="Times New Roman" w:eastAsia="Times New Roman" w:hAnsi="Times New Roman" w:cs="Times New Roman"/>
                <w:sz w:val="24"/>
                <w:szCs w:val="24"/>
              </w:rPr>
              <w:t>739</w:t>
            </w:r>
          </w:p>
        </w:tc>
        <w:tc>
          <w:tcPr>
            <w:tcW w:w="993" w:type="dxa"/>
            <w:tcBorders>
              <w:top w:val="nil"/>
              <w:left w:val="nil"/>
              <w:bottom w:val="single" w:sz="4" w:space="0" w:color="auto"/>
              <w:right w:val="single" w:sz="4" w:space="0" w:color="auto"/>
            </w:tcBorders>
            <w:hideMark/>
          </w:tcPr>
          <w:p w14:paraId="4D2695B0" w14:textId="77777777" w:rsidR="00660716" w:rsidRDefault="00660716">
            <w:pPr>
              <w:ind w:left="-567" w:firstLine="567"/>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13</w:t>
            </w:r>
          </w:p>
        </w:tc>
        <w:tc>
          <w:tcPr>
            <w:tcW w:w="567" w:type="dxa"/>
            <w:tcBorders>
              <w:top w:val="nil"/>
              <w:left w:val="nil"/>
              <w:bottom w:val="single" w:sz="4" w:space="0" w:color="auto"/>
              <w:right w:val="single" w:sz="4" w:space="0" w:color="auto"/>
            </w:tcBorders>
            <w:hideMark/>
          </w:tcPr>
          <w:p w14:paraId="5C496C3C" w14:textId="77777777" w:rsidR="00660716" w:rsidRDefault="00660716">
            <w:pPr>
              <w:ind w:left="-567" w:firstLine="567"/>
              <w:jc w:val="center"/>
              <w:rPr>
                <w:rFonts w:ascii="Times New Roman" w:eastAsia="Times New Roman" w:hAnsi="Times New Roman" w:cs="Times New Roman"/>
                <w:sz w:val="24"/>
                <w:szCs w:val="24"/>
                <w:lang w:val="en-AU" w:eastAsia="en-US"/>
              </w:rPr>
            </w:pPr>
            <w:r>
              <w:rPr>
                <w:rFonts w:ascii="Times New Roman" w:eastAsia="Times New Roman" w:hAnsi="Times New Roman" w:cs="Times New Roman"/>
                <w:sz w:val="24"/>
                <w:szCs w:val="24"/>
              </w:rPr>
              <w:t>1,76</w:t>
            </w:r>
          </w:p>
        </w:tc>
      </w:tr>
      <w:tr w:rsidR="00660716" w14:paraId="0D570836" w14:textId="77777777" w:rsidTr="00660716">
        <w:trPr>
          <w:trHeight w:val="300"/>
        </w:trPr>
        <w:tc>
          <w:tcPr>
            <w:tcW w:w="1702" w:type="dxa"/>
            <w:tcBorders>
              <w:top w:val="single" w:sz="4" w:space="0" w:color="auto"/>
              <w:left w:val="single" w:sz="4" w:space="0" w:color="auto"/>
              <w:bottom w:val="single" w:sz="4" w:space="0" w:color="auto"/>
              <w:right w:val="single" w:sz="4" w:space="0" w:color="auto"/>
            </w:tcBorders>
            <w:vAlign w:val="center"/>
            <w:hideMark/>
          </w:tcPr>
          <w:p w14:paraId="6F011EA4" w14:textId="77777777" w:rsidR="00660716" w:rsidRDefault="00660716">
            <w:pPr>
              <w:ind w:left="-567"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ОБЩО</w:t>
            </w:r>
          </w:p>
        </w:tc>
        <w:tc>
          <w:tcPr>
            <w:tcW w:w="1417" w:type="dxa"/>
            <w:tcBorders>
              <w:top w:val="single" w:sz="4" w:space="0" w:color="auto"/>
              <w:left w:val="nil"/>
              <w:bottom w:val="single" w:sz="4" w:space="0" w:color="auto"/>
              <w:right w:val="single" w:sz="4" w:space="0" w:color="auto"/>
            </w:tcBorders>
            <w:vAlign w:val="center"/>
            <w:hideMark/>
          </w:tcPr>
          <w:p w14:paraId="190178BC" w14:textId="77777777" w:rsidR="00660716" w:rsidRDefault="00660716">
            <w:pPr>
              <w:ind w:left="-567"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859</w:t>
            </w:r>
          </w:p>
        </w:tc>
        <w:tc>
          <w:tcPr>
            <w:tcW w:w="992" w:type="dxa"/>
            <w:tcBorders>
              <w:top w:val="single" w:sz="4" w:space="0" w:color="auto"/>
              <w:left w:val="nil"/>
              <w:bottom w:val="single" w:sz="4" w:space="0" w:color="auto"/>
              <w:right w:val="single" w:sz="4" w:space="0" w:color="auto"/>
            </w:tcBorders>
            <w:vAlign w:val="center"/>
            <w:hideMark/>
          </w:tcPr>
          <w:p w14:paraId="68818136" w14:textId="77777777" w:rsidR="00660716" w:rsidRDefault="00660716">
            <w:pPr>
              <w:ind w:left="-567"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w:t>
            </w:r>
          </w:p>
        </w:tc>
        <w:tc>
          <w:tcPr>
            <w:tcW w:w="567" w:type="dxa"/>
            <w:tcBorders>
              <w:top w:val="single" w:sz="4" w:space="0" w:color="auto"/>
              <w:left w:val="nil"/>
              <w:bottom w:val="single" w:sz="4" w:space="0" w:color="auto"/>
              <w:right w:val="single" w:sz="4" w:space="0" w:color="auto"/>
            </w:tcBorders>
            <w:vAlign w:val="center"/>
            <w:hideMark/>
          </w:tcPr>
          <w:p w14:paraId="4B46E84E" w14:textId="77777777" w:rsidR="00660716" w:rsidRDefault="00660716">
            <w:pPr>
              <w:ind w:left="-567" w:firstLine="567"/>
              <w:jc w:val="center"/>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2,33</w:t>
            </w:r>
          </w:p>
        </w:tc>
        <w:tc>
          <w:tcPr>
            <w:tcW w:w="1418" w:type="dxa"/>
            <w:tcBorders>
              <w:top w:val="single" w:sz="4" w:space="0" w:color="auto"/>
              <w:left w:val="nil"/>
              <w:bottom w:val="single" w:sz="4" w:space="0" w:color="auto"/>
              <w:right w:val="single" w:sz="4" w:space="0" w:color="auto"/>
            </w:tcBorders>
            <w:hideMark/>
          </w:tcPr>
          <w:p w14:paraId="7A4AE38E" w14:textId="77777777" w:rsidR="00660716" w:rsidRDefault="00660716">
            <w:pPr>
              <w:ind w:left="-567" w:firstLine="567"/>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846</w:t>
            </w:r>
          </w:p>
        </w:tc>
        <w:tc>
          <w:tcPr>
            <w:tcW w:w="992" w:type="dxa"/>
            <w:tcBorders>
              <w:top w:val="single" w:sz="4" w:space="0" w:color="auto"/>
              <w:left w:val="nil"/>
              <w:bottom w:val="single" w:sz="4" w:space="0" w:color="auto"/>
              <w:right w:val="single" w:sz="4" w:space="0" w:color="auto"/>
            </w:tcBorders>
            <w:hideMark/>
          </w:tcPr>
          <w:p w14:paraId="2608BC05" w14:textId="77777777" w:rsidR="00660716" w:rsidRDefault="00660716">
            <w:pPr>
              <w:ind w:left="-567" w:firstLine="567"/>
              <w:jc w:val="center"/>
              <w:rPr>
                <w:rFonts w:ascii="Times New Roman" w:eastAsia="Times New Roman" w:hAnsi="Times New Roman" w:cs="Times New Roman"/>
                <w:b/>
                <w:sz w:val="24"/>
                <w:szCs w:val="24"/>
                <w:lang w:val="en-AU" w:eastAsia="en-US"/>
              </w:rPr>
            </w:pPr>
            <w:r>
              <w:rPr>
                <w:rFonts w:ascii="Times New Roman" w:eastAsia="Times New Roman" w:hAnsi="Times New Roman" w:cs="Times New Roman"/>
                <w:b/>
                <w:sz w:val="24"/>
                <w:szCs w:val="24"/>
              </w:rPr>
              <w:t>23</w:t>
            </w:r>
          </w:p>
        </w:tc>
        <w:tc>
          <w:tcPr>
            <w:tcW w:w="709" w:type="dxa"/>
            <w:tcBorders>
              <w:top w:val="single" w:sz="4" w:space="0" w:color="auto"/>
              <w:left w:val="nil"/>
              <w:bottom w:val="single" w:sz="4" w:space="0" w:color="auto"/>
              <w:right w:val="single" w:sz="4" w:space="0" w:color="auto"/>
            </w:tcBorders>
            <w:hideMark/>
          </w:tcPr>
          <w:p w14:paraId="3821C1FE" w14:textId="77777777" w:rsidR="00660716" w:rsidRDefault="00660716">
            <w:pPr>
              <w:rPr>
                <w:rFonts w:ascii="Times New Roman" w:hAnsi="Times New Roman" w:cs="Times New Roman"/>
                <w:sz w:val="24"/>
                <w:szCs w:val="24"/>
              </w:rPr>
            </w:pPr>
            <w:r>
              <w:rPr>
                <w:rFonts w:ascii="Times New Roman" w:hAnsi="Times New Roman" w:cs="Times New Roman"/>
                <w:sz w:val="24"/>
                <w:szCs w:val="24"/>
              </w:rPr>
              <w:t>2,72</w:t>
            </w:r>
          </w:p>
        </w:tc>
        <w:tc>
          <w:tcPr>
            <w:tcW w:w="1417" w:type="dxa"/>
            <w:tcBorders>
              <w:top w:val="single" w:sz="4" w:space="0" w:color="auto"/>
              <w:left w:val="nil"/>
              <w:bottom w:val="single" w:sz="4" w:space="0" w:color="auto"/>
              <w:right w:val="single" w:sz="4" w:space="0" w:color="auto"/>
            </w:tcBorders>
            <w:hideMark/>
          </w:tcPr>
          <w:p w14:paraId="021BED44" w14:textId="77777777" w:rsidR="00660716" w:rsidRDefault="00660716">
            <w:pPr>
              <w:ind w:left="-567" w:firstLine="567"/>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834</w:t>
            </w:r>
          </w:p>
        </w:tc>
        <w:tc>
          <w:tcPr>
            <w:tcW w:w="993" w:type="dxa"/>
            <w:tcBorders>
              <w:top w:val="single" w:sz="4" w:space="0" w:color="auto"/>
              <w:left w:val="nil"/>
              <w:bottom w:val="single" w:sz="4" w:space="0" w:color="auto"/>
              <w:right w:val="single" w:sz="4" w:space="0" w:color="auto"/>
            </w:tcBorders>
            <w:hideMark/>
          </w:tcPr>
          <w:p w14:paraId="046A01D4" w14:textId="77777777" w:rsidR="00660716" w:rsidRDefault="00660716">
            <w:pPr>
              <w:ind w:left="-567" w:firstLine="567"/>
              <w:jc w:val="center"/>
              <w:rPr>
                <w:rFonts w:ascii="Times New Roman" w:eastAsia="Times New Roman" w:hAnsi="Times New Roman" w:cs="Times New Roman"/>
                <w:b/>
                <w:sz w:val="24"/>
                <w:szCs w:val="24"/>
                <w:lang w:val="en-AU" w:eastAsia="en-US"/>
              </w:rPr>
            </w:pPr>
            <w:r>
              <w:rPr>
                <w:rFonts w:ascii="Times New Roman" w:eastAsia="Times New Roman" w:hAnsi="Times New Roman" w:cs="Times New Roman"/>
                <w:b/>
                <w:sz w:val="24"/>
                <w:szCs w:val="24"/>
              </w:rPr>
              <w:t>18</w:t>
            </w:r>
          </w:p>
        </w:tc>
        <w:tc>
          <w:tcPr>
            <w:tcW w:w="567" w:type="dxa"/>
            <w:tcBorders>
              <w:top w:val="single" w:sz="4" w:space="0" w:color="auto"/>
              <w:left w:val="nil"/>
              <w:bottom w:val="single" w:sz="4" w:space="0" w:color="auto"/>
              <w:right w:val="single" w:sz="4" w:space="0" w:color="auto"/>
            </w:tcBorders>
            <w:hideMark/>
          </w:tcPr>
          <w:p w14:paraId="71D4D75D" w14:textId="77777777" w:rsidR="00660716" w:rsidRDefault="00660716">
            <w:pPr>
              <w:ind w:left="-567" w:firstLine="567"/>
              <w:jc w:val="center"/>
              <w:rPr>
                <w:rFonts w:ascii="Times New Roman" w:eastAsia="Times New Roman" w:hAnsi="Times New Roman" w:cs="Times New Roman"/>
                <w:b/>
                <w:sz w:val="24"/>
                <w:szCs w:val="24"/>
                <w:lang w:val="en-AU" w:eastAsia="en-US"/>
              </w:rPr>
            </w:pPr>
            <w:r>
              <w:rPr>
                <w:rFonts w:ascii="Times New Roman" w:eastAsia="Times New Roman" w:hAnsi="Times New Roman" w:cs="Times New Roman"/>
                <w:b/>
                <w:sz w:val="24"/>
                <w:szCs w:val="24"/>
              </w:rPr>
              <w:t>2,16</w:t>
            </w:r>
          </w:p>
        </w:tc>
      </w:tr>
    </w:tbl>
    <w:p w14:paraId="5EE2A681" w14:textId="77777777" w:rsidR="00660716" w:rsidRDefault="00660716" w:rsidP="00660716">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381A871E" w14:textId="77777777" w:rsidR="00660716" w:rsidRDefault="00660716" w:rsidP="00660716">
      <w:pPr>
        <w:pStyle w:val="a4"/>
        <w:ind w:left="-567" w:right="-71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Като извод по отношение на този показател може да бъде отчетено, че е налице отново стабилитет и то положителен такъв, като цяло за Пазарджишкия съдебен район. Налице е сравнително нисък процент на оправданите лица спрямо осъдените и санкционирани такива, вариращ от 2,1</w:t>
      </w:r>
      <w:r>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rPr>
        <w:t xml:space="preserve"> до 2,72 през последните три години.</w:t>
      </w:r>
    </w:p>
    <w:p w14:paraId="6CBE6515" w14:textId="77777777" w:rsidR="00660716" w:rsidRDefault="00660716" w:rsidP="00660716">
      <w:pPr>
        <w:pStyle w:val="a4"/>
        <w:ind w:left="-567" w:right="-710"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Съотношението на оправданите 16 лица с влезли в сила оправдателни присъди/решения за 2025 г. спрямо осъдените и санкционирани с влезли в сила присъди/решения 798 лица е 2%. За 2024 г. </w:t>
      </w:r>
      <w:r>
        <w:rPr>
          <w:rFonts w:ascii="Times New Roman" w:eastAsia="Times New Roman" w:hAnsi="Times New Roman" w:cs="Times New Roman"/>
          <w:sz w:val="28"/>
          <w:szCs w:val="28"/>
        </w:rPr>
        <w:t>оправданите с влезли в сила оправдателни присъди/решения лица са били 16 и са съставлявали 1,95% от общо осъдените и санкционирани тогава 820 лица с влезли в сила присъди/решения. За 2023 г. оправданите с влезли в сила присъди/решения  22 лица са съставлявали 2,72% от общо осъдените и санкционирани с влязъл в сила акт 808 лица. Относителният дял несъмнено остава нисък, въпреки че в сравнение с 2024 г. е незначително увеличен и съответно е намален в сравнение с 2023 г.  Ето защо, може да се потвърди и направеният по-горе извод по отношение на оправданите лица, че е постигнат оптимален резултат, като през последните години разликите за Пазарджишкия съдебен регион са  между 1,95 и 2,72%. Изводът е, че се касае за стабилитет по отношение на този пункт и за добро качество на внасяните в съда прокурорски актове, с цел постигане на осъдителни присъди и решения.</w:t>
      </w:r>
    </w:p>
    <w:p w14:paraId="5F38D901" w14:textId="77777777" w:rsidR="00660716" w:rsidRDefault="00660716" w:rsidP="00660716">
      <w:pPr>
        <w:tabs>
          <w:tab w:val="left" w:pos="426"/>
          <w:tab w:val="left" w:pos="709"/>
          <w:tab w:val="left" w:pos="993"/>
        </w:tabs>
        <w:suppressAutoHyphens/>
        <w:spacing w:after="0" w:line="240" w:lineRule="auto"/>
        <w:ind w:left="-567" w:right="-427" w:firstLine="567"/>
        <w:jc w:val="both"/>
        <w:rPr>
          <w:rFonts w:ascii="Times New Roman" w:eastAsia="Times New Roman" w:hAnsi="Times New Roman" w:cs="Times New Roman"/>
          <w:color w:val="FF0000"/>
          <w:sz w:val="28"/>
          <w:szCs w:val="28"/>
          <w:lang w:eastAsia="ar-SA"/>
        </w:rPr>
      </w:pPr>
      <w:r>
        <w:rPr>
          <w:rFonts w:ascii="Times New Roman" w:eastAsia="Times New Roman" w:hAnsi="Times New Roman" w:cs="Times New Roman"/>
          <w:sz w:val="28"/>
          <w:szCs w:val="28"/>
          <w:lang w:eastAsia="ar-SA"/>
        </w:rPr>
        <w:t xml:space="preserve"> </w:t>
      </w:r>
    </w:p>
    <w:p w14:paraId="22E9D74D" w14:textId="77777777" w:rsidR="00660716" w:rsidRDefault="00660716" w:rsidP="00660716">
      <w:pPr>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 прокуратури данните са следните:</w:t>
      </w:r>
    </w:p>
    <w:tbl>
      <w:tblPr>
        <w:tblW w:w="11235" w:type="dxa"/>
        <w:tblInd w:w="-923" w:type="dxa"/>
        <w:tblLayout w:type="fixed"/>
        <w:tblCellMar>
          <w:left w:w="70" w:type="dxa"/>
          <w:right w:w="70" w:type="dxa"/>
        </w:tblCellMar>
        <w:tblLook w:val="04A0" w:firstRow="1" w:lastRow="0" w:firstColumn="1" w:lastColumn="0" w:noHBand="0" w:noVBand="1"/>
      </w:tblPr>
      <w:tblGrid>
        <w:gridCol w:w="1702"/>
        <w:gridCol w:w="992"/>
        <w:gridCol w:w="993"/>
        <w:gridCol w:w="1134"/>
        <w:gridCol w:w="993"/>
        <w:gridCol w:w="1030"/>
        <w:gridCol w:w="1131"/>
        <w:gridCol w:w="1102"/>
        <w:gridCol w:w="1024"/>
        <w:gridCol w:w="1134"/>
      </w:tblGrid>
      <w:tr w:rsidR="00660716" w14:paraId="19871CD3" w14:textId="77777777" w:rsidTr="00660716">
        <w:trPr>
          <w:trHeight w:val="1530"/>
        </w:trPr>
        <w:tc>
          <w:tcPr>
            <w:tcW w:w="1702" w:type="dxa"/>
            <w:tcBorders>
              <w:top w:val="single" w:sz="4" w:space="0" w:color="auto"/>
              <w:left w:val="single" w:sz="4" w:space="0" w:color="auto"/>
              <w:bottom w:val="single" w:sz="4" w:space="0" w:color="auto"/>
              <w:right w:val="single" w:sz="4" w:space="0" w:color="auto"/>
            </w:tcBorders>
            <w:vAlign w:val="center"/>
          </w:tcPr>
          <w:p w14:paraId="7FF579F0" w14:textId="77777777" w:rsidR="00660716" w:rsidRDefault="00660716">
            <w:pPr>
              <w:ind w:left="-567" w:firstLine="567"/>
              <w:jc w:val="center"/>
              <w:rPr>
                <w:rFonts w:ascii="Times New Roman" w:eastAsia="Times New Roman" w:hAnsi="Times New Roman" w:cs="Times New Roman"/>
                <w:b/>
                <w:bCs/>
                <w:color w:val="000000"/>
                <w:sz w:val="20"/>
                <w:szCs w:val="20"/>
              </w:rPr>
            </w:pPr>
          </w:p>
          <w:p w14:paraId="0753EBA5" w14:textId="77777777" w:rsidR="00660716" w:rsidRDefault="00660716">
            <w:pPr>
              <w:ind w:left="-567" w:firstLine="567"/>
              <w:jc w:val="center"/>
              <w:rPr>
                <w:rFonts w:ascii="Times New Roman" w:eastAsia="Times New Roman" w:hAnsi="Times New Roman" w:cs="Times New Roman"/>
                <w:b/>
                <w:bCs/>
                <w:color w:val="000000"/>
                <w:sz w:val="20"/>
                <w:szCs w:val="20"/>
              </w:rPr>
            </w:pPr>
          </w:p>
          <w:p w14:paraId="3983CB5E" w14:textId="77777777" w:rsidR="00660716" w:rsidRDefault="00660716">
            <w:pPr>
              <w:ind w:left="-567" w:firstLine="567"/>
              <w:jc w:val="center"/>
              <w:rPr>
                <w:rFonts w:ascii="Times New Roman" w:eastAsia="Times New Roman" w:hAnsi="Times New Roman" w:cs="Times New Roman"/>
                <w:b/>
                <w:bCs/>
                <w:color w:val="000000"/>
                <w:sz w:val="20"/>
                <w:szCs w:val="20"/>
              </w:rPr>
            </w:pPr>
          </w:p>
          <w:p w14:paraId="101DB85B" w14:textId="77777777" w:rsidR="00660716" w:rsidRDefault="00660716">
            <w:pPr>
              <w:ind w:left="-567" w:firstLine="56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Прокуратура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36416A" w14:textId="77777777" w:rsidR="00660716" w:rsidRDefault="00660716">
            <w:pPr>
              <w:rPr>
                <w:rFonts w:ascii="Times New Roman" w:hAnsi="Times New Roman" w:cs="Times New Roman"/>
              </w:rPr>
            </w:pPr>
            <w:r>
              <w:rPr>
                <w:rFonts w:ascii="Times New Roman" w:hAnsi="Times New Roman" w:cs="Times New Roman"/>
              </w:rPr>
              <w:t>Осъдени с влязъл в сила съдебен акт лица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786EDA" w14:textId="77777777" w:rsidR="00660716" w:rsidRDefault="00660716">
            <w:pPr>
              <w:rPr>
                <w:rFonts w:ascii="Times New Roman" w:hAnsi="Times New Roman" w:cs="Times New Roman"/>
              </w:rPr>
            </w:pPr>
            <w:r>
              <w:rPr>
                <w:rFonts w:ascii="Times New Roman" w:hAnsi="Times New Roman" w:cs="Times New Roman"/>
              </w:rPr>
              <w:t>Оправдани с влязъл в сила съдебен акт лица</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4177E4" w14:textId="77777777" w:rsidR="00660716" w:rsidRDefault="00660716">
            <w:pPr>
              <w:pStyle w:val="a4"/>
              <w:spacing w:line="276" w:lineRule="auto"/>
              <w:rPr>
                <w:rFonts w:ascii="Times New Roman" w:hAnsi="Times New Roman" w:cs="Times New Roman"/>
              </w:rPr>
            </w:pPr>
            <w:r>
              <w:rPr>
                <w:rFonts w:ascii="Times New Roman" w:hAnsi="Times New Roman" w:cs="Times New Roman"/>
              </w:rPr>
              <w:t xml:space="preserve">Процент </w:t>
            </w:r>
          </w:p>
          <w:p w14:paraId="0CA11F60" w14:textId="77777777" w:rsidR="00660716" w:rsidRDefault="00660716">
            <w:pPr>
              <w:pStyle w:val="a4"/>
              <w:spacing w:line="276" w:lineRule="auto"/>
              <w:rPr>
                <w:rFonts w:ascii="Times New Roman" w:hAnsi="Times New Roman" w:cs="Times New Roman"/>
              </w:rPr>
            </w:pPr>
            <w:r>
              <w:rPr>
                <w:rFonts w:ascii="Times New Roman" w:hAnsi="Times New Roman" w:cs="Times New Roman"/>
              </w:rPr>
              <w:t>на оправдани</w:t>
            </w:r>
          </w:p>
          <w:p w14:paraId="1C3D6C89" w14:textId="77777777" w:rsidR="00660716" w:rsidRDefault="00660716">
            <w:pPr>
              <w:pStyle w:val="a4"/>
              <w:spacing w:line="276" w:lineRule="auto"/>
            </w:pPr>
            <w:r>
              <w:rPr>
                <w:rFonts w:ascii="Times New Roman" w:hAnsi="Times New Roman" w:cs="Times New Roman"/>
              </w:rPr>
              <w:t>те лица 2025г.</w:t>
            </w:r>
          </w:p>
        </w:tc>
        <w:tc>
          <w:tcPr>
            <w:tcW w:w="992" w:type="dxa"/>
            <w:tcBorders>
              <w:top w:val="single" w:sz="4" w:space="0" w:color="auto"/>
              <w:left w:val="nil"/>
              <w:bottom w:val="single" w:sz="4" w:space="0" w:color="auto"/>
              <w:right w:val="single" w:sz="4" w:space="0" w:color="auto"/>
            </w:tcBorders>
            <w:vAlign w:val="center"/>
            <w:hideMark/>
          </w:tcPr>
          <w:p w14:paraId="7B798242" w14:textId="77777777" w:rsidR="00660716" w:rsidRDefault="00660716">
            <w:pPr>
              <w:rPr>
                <w:rFonts w:ascii="Times New Roman" w:hAnsi="Times New Roman" w:cs="Times New Roman"/>
              </w:rPr>
            </w:pPr>
            <w:r>
              <w:rPr>
                <w:rFonts w:ascii="Times New Roman" w:hAnsi="Times New Roman" w:cs="Times New Roman"/>
              </w:rPr>
              <w:t>Осъдени с влязъл в сила съдебен акт лица</w:t>
            </w:r>
          </w:p>
        </w:tc>
        <w:tc>
          <w:tcPr>
            <w:tcW w:w="1029" w:type="dxa"/>
            <w:tcBorders>
              <w:top w:val="single" w:sz="4" w:space="0" w:color="auto"/>
              <w:left w:val="nil"/>
              <w:bottom w:val="single" w:sz="4" w:space="0" w:color="auto"/>
              <w:right w:val="single" w:sz="4" w:space="0" w:color="auto"/>
            </w:tcBorders>
            <w:vAlign w:val="center"/>
            <w:hideMark/>
          </w:tcPr>
          <w:p w14:paraId="7F870A8B" w14:textId="77777777" w:rsidR="00660716" w:rsidRDefault="00660716">
            <w:pPr>
              <w:rPr>
                <w:rFonts w:ascii="Times New Roman" w:hAnsi="Times New Roman" w:cs="Times New Roman"/>
              </w:rPr>
            </w:pPr>
            <w:r>
              <w:rPr>
                <w:rFonts w:ascii="Times New Roman" w:hAnsi="Times New Roman" w:cs="Times New Roman"/>
              </w:rPr>
              <w:t>Оправдани с влязъл в сила съдебен акт лица</w:t>
            </w:r>
          </w:p>
        </w:tc>
        <w:tc>
          <w:tcPr>
            <w:tcW w:w="1130" w:type="dxa"/>
            <w:tcBorders>
              <w:top w:val="single" w:sz="4" w:space="0" w:color="auto"/>
              <w:left w:val="nil"/>
              <w:bottom w:val="single" w:sz="4" w:space="0" w:color="auto"/>
              <w:right w:val="single" w:sz="4" w:space="0" w:color="auto"/>
            </w:tcBorders>
            <w:vAlign w:val="center"/>
            <w:hideMark/>
          </w:tcPr>
          <w:p w14:paraId="7AAC7E56" w14:textId="77777777" w:rsidR="00660716" w:rsidRDefault="00660716">
            <w:pPr>
              <w:rPr>
                <w:rFonts w:ascii="Times New Roman" w:hAnsi="Times New Roman" w:cs="Times New Roman"/>
              </w:rPr>
            </w:pPr>
            <w:r>
              <w:rPr>
                <w:rFonts w:ascii="Times New Roman" w:hAnsi="Times New Roman" w:cs="Times New Roman"/>
              </w:rPr>
              <w:t>Процент на оправданите лица 2024г.</w:t>
            </w:r>
          </w:p>
        </w:tc>
        <w:tc>
          <w:tcPr>
            <w:tcW w:w="1101" w:type="dxa"/>
            <w:tcBorders>
              <w:top w:val="single" w:sz="4" w:space="0" w:color="auto"/>
              <w:left w:val="nil"/>
              <w:bottom w:val="single" w:sz="4" w:space="0" w:color="auto"/>
              <w:right w:val="single" w:sz="4" w:space="0" w:color="auto"/>
            </w:tcBorders>
            <w:vAlign w:val="center"/>
            <w:hideMark/>
          </w:tcPr>
          <w:p w14:paraId="4677B595" w14:textId="77777777" w:rsidR="00660716" w:rsidRDefault="00660716">
            <w:pPr>
              <w:rPr>
                <w:rFonts w:ascii="Times New Roman" w:hAnsi="Times New Roman" w:cs="Times New Roman"/>
              </w:rPr>
            </w:pPr>
            <w:r>
              <w:rPr>
                <w:rFonts w:ascii="Times New Roman" w:hAnsi="Times New Roman" w:cs="Times New Roman"/>
              </w:rPr>
              <w:t>Осъдени с влязъл в сила съдебен акт лица</w:t>
            </w:r>
          </w:p>
        </w:tc>
        <w:tc>
          <w:tcPr>
            <w:tcW w:w="1023" w:type="dxa"/>
            <w:tcBorders>
              <w:top w:val="single" w:sz="4" w:space="0" w:color="auto"/>
              <w:left w:val="nil"/>
              <w:bottom w:val="single" w:sz="4" w:space="0" w:color="auto"/>
              <w:right w:val="single" w:sz="4" w:space="0" w:color="auto"/>
            </w:tcBorders>
            <w:vAlign w:val="center"/>
            <w:hideMark/>
          </w:tcPr>
          <w:p w14:paraId="797DF735" w14:textId="77777777" w:rsidR="00660716" w:rsidRDefault="00660716">
            <w:pPr>
              <w:rPr>
                <w:rFonts w:ascii="Times New Roman" w:hAnsi="Times New Roman" w:cs="Times New Roman"/>
              </w:rPr>
            </w:pPr>
            <w:r>
              <w:rPr>
                <w:rFonts w:ascii="Times New Roman" w:hAnsi="Times New Roman" w:cs="Times New Roman"/>
              </w:rPr>
              <w:t>Оправдани с влязъл в сила съдебен акт лица</w:t>
            </w:r>
          </w:p>
        </w:tc>
        <w:tc>
          <w:tcPr>
            <w:tcW w:w="1133" w:type="dxa"/>
            <w:tcBorders>
              <w:top w:val="single" w:sz="4" w:space="0" w:color="auto"/>
              <w:left w:val="nil"/>
              <w:bottom w:val="single" w:sz="4" w:space="0" w:color="auto"/>
              <w:right w:val="single" w:sz="4" w:space="0" w:color="auto"/>
            </w:tcBorders>
            <w:vAlign w:val="center"/>
            <w:hideMark/>
          </w:tcPr>
          <w:p w14:paraId="7081A389" w14:textId="77777777" w:rsidR="00660716" w:rsidRDefault="00660716">
            <w:pPr>
              <w:rPr>
                <w:rFonts w:ascii="Times New Roman" w:hAnsi="Times New Roman" w:cs="Times New Roman"/>
              </w:rPr>
            </w:pPr>
            <w:r>
              <w:rPr>
                <w:rFonts w:ascii="Times New Roman" w:hAnsi="Times New Roman" w:cs="Times New Roman"/>
              </w:rPr>
              <w:t>Процент на оправданите лица</w:t>
            </w:r>
          </w:p>
          <w:p w14:paraId="386BC591" w14:textId="77777777" w:rsidR="00660716" w:rsidRDefault="00660716">
            <w:pPr>
              <w:rPr>
                <w:rFonts w:ascii="Times New Roman" w:hAnsi="Times New Roman" w:cs="Times New Roman"/>
              </w:rPr>
            </w:pPr>
            <w:r>
              <w:rPr>
                <w:rFonts w:ascii="Times New Roman" w:hAnsi="Times New Roman" w:cs="Times New Roman"/>
              </w:rPr>
              <w:t>2023г.</w:t>
            </w:r>
          </w:p>
        </w:tc>
      </w:tr>
      <w:tr w:rsidR="00660716" w14:paraId="7732D86C" w14:textId="77777777" w:rsidTr="00660716">
        <w:trPr>
          <w:trHeight w:val="277"/>
        </w:trPr>
        <w:tc>
          <w:tcPr>
            <w:tcW w:w="1702" w:type="dxa"/>
            <w:tcBorders>
              <w:top w:val="nil"/>
              <w:left w:val="single" w:sz="4" w:space="0" w:color="auto"/>
              <w:bottom w:val="single" w:sz="4" w:space="0" w:color="auto"/>
              <w:right w:val="single" w:sz="4" w:space="0" w:color="auto"/>
            </w:tcBorders>
            <w:vAlign w:val="center"/>
            <w:hideMark/>
          </w:tcPr>
          <w:p w14:paraId="6F6999A0" w14:textId="77777777" w:rsidR="00660716" w:rsidRDefault="00660716">
            <w:pPr>
              <w:ind w:left="-567" w:firstLine="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ОП Пазарджик</w:t>
            </w:r>
          </w:p>
        </w:tc>
        <w:tc>
          <w:tcPr>
            <w:tcW w:w="992" w:type="dxa"/>
            <w:tcBorders>
              <w:top w:val="nil"/>
              <w:left w:val="single" w:sz="4" w:space="0" w:color="auto"/>
              <w:bottom w:val="single" w:sz="4" w:space="0" w:color="auto"/>
              <w:right w:val="single" w:sz="4" w:space="0" w:color="auto"/>
            </w:tcBorders>
            <w:vAlign w:val="center"/>
            <w:hideMark/>
          </w:tcPr>
          <w:p w14:paraId="41377A33" w14:textId="77777777" w:rsidR="00660716" w:rsidRDefault="00660716">
            <w:pPr>
              <w:ind w:left="-567"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p>
        </w:tc>
        <w:tc>
          <w:tcPr>
            <w:tcW w:w="993" w:type="dxa"/>
            <w:tcBorders>
              <w:top w:val="nil"/>
              <w:left w:val="single" w:sz="4" w:space="0" w:color="auto"/>
              <w:bottom w:val="single" w:sz="4" w:space="0" w:color="auto"/>
              <w:right w:val="single" w:sz="4" w:space="0" w:color="auto"/>
            </w:tcBorders>
            <w:vAlign w:val="center"/>
            <w:hideMark/>
          </w:tcPr>
          <w:p w14:paraId="0857BFBC" w14:textId="77777777" w:rsidR="00660716" w:rsidRDefault="00660716">
            <w:pPr>
              <w:ind w:left="-567"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34" w:type="dxa"/>
            <w:tcBorders>
              <w:top w:val="nil"/>
              <w:left w:val="single" w:sz="4" w:space="0" w:color="auto"/>
              <w:bottom w:val="single" w:sz="4" w:space="0" w:color="auto"/>
              <w:right w:val="single" w:sz="4" w:space="0" w:color="auto"/>
            </w:tcBorders>
            <w:vAlign w:val="center"/>
            <w:hideMark/>
          </w:tcPr>
          <w:p w14:paraId="29635488" w14:textId="77777777" w:rsidR="00660716" w:rsidRDefault="00660716">
            <w:pPr>
              <w:ind w:left="-567"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3,45</w:t>
            </w:r>
          </w:p>
        </w:tc>
        <w:tc>
          <w:tcPr>
            <w:tcW w:w="992" w:type="dxa"/>
            <w:tcBorders>
              <w:top w:val="nil"/>
              <w:left w:val="nil"/>
              <w:bottom w:val="single" w:sz="4" w:space="0" w:color="auto"/>
              <w:right w:val="single" w:sz="4" w:space="0" w:color="auto"/>
            </w:tcBorders>
            <w:hideMark/>
          </w:tcPr>
          <w:p w14:paraId="62AEB8F3" w14:textId="77777777" w:rsidR="00660716" w:rsidRDefault="00660716">
            <w:pPr>
              <w:ind w:left="-567" w:firstLine="567"/>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74</w:t>
            </w:r>
          </w:p>
        </w:tc>
        <w:tc>
          <w:tcPr>
            <w:tcW w:w="1029" w:type="dxa"/>
            <w:tcBorders>
              <w:top w:val="nil"/>
              <w:left w:val="nil"/>
              <w:bottom w:val="single" w:sz="4" w:space="0" w:color="auto"/>
              <w:right w:val="single" w:sz="4" w:space="0" w:color="auto"/>
            </w:tcBorders>
            <w:hideMark/>
          </w:tcPr>
          <w:p w14:paraId="63FA306C" w14:textId="77777777" w:rsidR="00660716" w:rsidRDefault="00660716">
            <w:pPr>
              <w:ind w:left="-567" w:firstLine="567"/>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6</w:t>
            </w:r>
          </w:p>
        </w:tc>
        <w:tc>
          <w:tcPr>
            <w:tcW w:w="1130" w:type="dxa"/>
            <w:tcBorders>
              <w:top w:val="nil"/>
              <w:left w:val="nil"/>
              <w:bottom w:val="single" w:sz="4" w:space="0" w:color="auto"/>
              <w:right w:val="single" w:sz="4" w:space="0" w:color="auto"/>
            </w:tcBorders>
            <w:shd w:val="clear" w:color="auto" w:fill="D9D9D9"/>
            <w:hideMark/>
          </w:tcPr>
          <w:p w14:paraId="10207987"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8,11</w:t>
            </w:r>
          </w:p>
        </w:tc>
        <w:tc>
          <w:tcPr>
            <w:tcW w:w="1101" w:type="dxa"/>
            <w:tcBorders>
              <w:top w:val="nil"/>
              <w:left w:val="nil"/>
              <w:bottom w:val="single" w:sz="4" w:space="0" w:color="auto"/>
              <w:right w:val="single" w:sz="4" w:space="0" w:color="auto"/>
            </w:tcBorders>
            <w:hideMark/>
          </w:tcPr>
          <w:p w14:paraId="48E2DECC"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74</w:t>
            </w:r>
          </w:p>
        </w:tc>
        <w:tc>
          <w:tcPr>
            <w:tcW w:w="1023" w:type="dxa"/>
            <w:tcBorders>
              <w:top w:val="nil"/>
              <w:left w:val="nil"/>
              <w:bottom w:val="single" w:sz="4" w:space="0" w:color="auto"/>
              <w:right w:val="single" w:sz="4" w:space="0" w:color="auto"/>
            </w:tcBorders>
            <w:hideMark/>
          </w:tcPr>
          <w:p w14:paraId="428A1F23" w14:textId="77777777" w:rsidR="00660716" w:rsidRDefault="00660716">
            <w:pPr>
              <w:ind w:left="-567" w:firstLine="567"/>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3</w:t>
            </w:r>
          </w:p>
        </w:tc>
        <w:tc>
          <w:tcPr>
            <w:tcW w:w="1133" w:type="dxa"/>
            <w:tcBorders>
              <w:top w:val="nil"/>
              <w:left w:val="nil"/>
              <w:bottom w:val="single" w:sz="4" w:space="0" w:color="auto"/>
              <w:right w:val="single" w:sz="4" w:space="0" w:color="auto"/>
            </w:tcBorders>
            <w:shd w:val="clear" w:color="auto" w:fill="D9D9D9"/>
            <w:hideMark/>
          </w:tcPr>
          <w:p w14:paraId="47D95230"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4,05</w:t>
            </w:r>
          </w:p>
        </w:tc>
      </w:tr>
      <w:tr w:rsidR="00660716" w14:paraId="04CE7BA5" w14:textId="77777777" w:rsidTr="00660716">
        <w:trPr>
          <w:trHeight w:val="277"/>
        </w:trPr>
        <w:tc>
          <w:tcPr>
            <w:tcW w:w="1702" w:type="dxa"/>
            <w:tcBorders>
              <w:top w:val="nil"/>
              <w:left w:val="single" w:sz="4" w:space="0" w:color="auto"/>
              <w:bottom w:val="single" w:sz="4" w:space="0" w:color="auto"/>
              <w:right w:val="single" w:sz="4" w:space="0" w:color="auto"/>
            </w:tcBorders>
            <w:vAlign w:val="center"/>
            <w:hideMark/>
          </w:tcPr>
          <w:p w14:paraId="74A59108" w14:textId="77777777" w:rsidR="00660716" w:rsidRDefault="00660716">
            <w:pPr>
              <w:ind w:left="-567" w:firstLine="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РП Пазарджик</w:t>
            </w:r>
          </w:p>
        </w:tc>
        <w:tc>
          <w:tcPr>
            <w:tcW w:w="992" w:type="dxa"/>
            <w:tcBorders>
              <w:top w:val="nil"/>
              <w:left w:val="single" w:sz="4" w:space="0" w:color="auto"/>
              <w:bottom w:val="single" w:sz="4" w:space="0" w:color="auto"/>
              <w:right w:val="single" w:sz="4" w:space="0" w:color="auto"/>
            </w:tcBorders>
            <w:vAlign w:val="center"/>
            <w:hideMark/>
          </w:tcPr>
          <w:p w14:paraId="0EB9CC08" w14:textId="77777777" w:rsidR="00660716" w:rsidRDefault="00660716">
            <w:pPr>
              <w:ind w:left="-567"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740</w:t>
            </w:r>
          </w:p>
        </w:tc>
        <w:tc>
          <w:tcPr>
            <w:tcW w:w="993" w:type="dxa"/>
            <w:tcBorders>
              <w:top w:val="nil"/>
              <w:left w:val="single" w:sz="4" w:space="0" w:color="auto"/>
              <w:bottom w:val="single" w:sz="4" w:space="0" w:color="auto"/>
              <w:right w:val="single" w:sz="4" w:space="0" w:color="auto"/>
            </w:tcBorders>
            <w:vAlign w:val="center"/>
            <w:hideMark/>
          </w:tcPr>
          <w:p w14:paraId="08D50695" w14:textId="77777777" w:rsidR="00660716" w:rsidRDefault="00660716">
            <w:pPr>
              <w:ind w:left="-567"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134" w:type="dxa"/>
            <w:tcBorders>
              <w:top w:val="nil"/>
              <w:left w:val="single" w:sz="4" w:space="0" w:color="auto"/>
              <w:bottom w:val="single" w:sz="4" w:space="0" w:color="auto"/>
              <w:right w:val="single" w:sz="4" w:space="0" w:color="auto"/>
            </w:tcBorders>
            <w:vAlign w:val="center"/>
            <w:hideMark/>
          </w:tcPr>
          <w:p w14:paraId="6F6A3407" w14:textId="77777777" w:rsidR="00660716" w:rsidRDefault="00660716">
            <w:pPr>
              <w:ind w:left="-567" w:firstLine="56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1,89</w:t>
            </w:r>
          </w:p>
        </w:tc>
        <w:tc>
          <w:tcPr>
            <w:tcW w:w="992" w:type="dxa"/>
            <w:tcBorders>
              <w:top w:val="nil"/>
              <w:left w:val="nil"/>
              <w:bottom w:val="single" w:sz="4" w:space="0" w:color="auto"/>
              <w:right w:val="single" w:sz="4" w:space="0" w:color="auto"/>
            </w:tcBorders>
            <w:hideMark/>
          </w:tcPr>
          <w:p w14:paraId="585AEFB2" w14:textId="77777777" w:rsidR="00660716" w:rsidRDefault="00660716">
            <w:pPr>
              <w:ind w:left="-567" w:firstLine="567"/>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746</w:t>
            </w:r>
          </w:p>
        </w:tc>
        <w:tc>
          <w:tcPr>
            <w:tcW w:w="1029" w:type="dxa"/>
            <w:tcBorders>
              <w:top w:val="nil"/>
              <w:left w:val="nil"/>
              <w:bottom w:val="single" w:sz="4" w:space="0" w:color="auto"/>
              <w:right w:val="single" w:sz="4" w:space="0" w:color="auto"/>
            </w:tcBorders>
            <w:hideMark/>
          </w:tcPr>
          <w:p w14:paraId="33AA62F2"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10</w:t>
            </w:r>
          </w:p>
        </w:tc>
        <w:tc>
          <w:tcPr>
            <w:tcW w:w="1130" w:type="dxa"/>
            <w:tcBorders>
              <w:top w:val="nil"/>
              <w:left w:val="nil"/>
              <w:bottom w:val="single" w:sz="4" w:space="0" w:color="auto"/>
              <w:right w:val="single" w:sz="4" w:space="0" w:color="auto"/>
            </w:tcBorders>
            <w:shd w:val="clear" w:color="auto" w:fill="D9D9D9"/>
            <w:hideMark/>
          </w:tcPr>
          <w:p w14:paraId="2AA2AB3E"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1,34</w:t>
            </w:r>
          </w:p>
        </w:tc>
        <w:tc>
          <w:tcPr>
            <w:tcW w:w="1101" w:type="dxa"/>
            <w:tcBorders>
              <w:top w:val="nil"/>
              <w:left w:val="nil"/>
              <w:bottom w:val="single" w:sz="4" w:space="0" w:color="auto"/>
              <w:right w:val="single" w:sz="4" w:space="0" w:color="auto"/>
            </w:tcBorders>
            <w:hideMark/>
          </w:tcPr>
          <w:p w14:paraId="3D902E62"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734</w:t>
            </w:r>
          </w:p>
        </w:tc>
        <w:tc>
          <w:tcPr>
            <w:tcW w:w="1023" w:type="dxa"/>
            <w:tcBorders>
              <w:top w:val="nil"/>
              <w:left w:val="nil"/>
              <w:bottom w:val="single" w:sz="4" w:space="0" w:color="auto"/>
              <w:right w:val="single" w:sz="4" w:space="0" w:color="auto"/>
            </w:tcBorders>
            <w:hideMark/>
          </w:tcPr>
          <w:p w14:paraId="5F503CAB" w14:textId="77777777" w:rsidR="00660716" w:rsidRDefault="00660716">
            <w:pPr>
              <w:ind w:left="-567" w:firstLine="567"/>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19</w:t>
            </w:r>
          </w:p>
        </w:tc>
        <w:tc>
          <w:tcPr>
            <w:tcW w:w="1133" w:type="dxa"/>
            <w:tcBorders>
              <w:top w:val="nil"/>
              <w:left w:val="nil"/>
              <w:bottom w:val="single" w:sz="4" w:space="0" w:color="auto"/>
              <w:right w:val="single" w:sz="4" w:space="0" w:color="auto"/>
            </w:tcBorders>
            <w:shd w:val="clear" w:color="auto" w:fill="D9D9D9"/>
            <w:hideMark/>
          </w:tcPr>
          <w:p w14:paraId="24344882"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2,59</w:t>
            </w:r>
          </w:p>
        </w:tc>
      </w:tr>
      <w:tr w:rsidR="00660716" w14:paraId="3FD601B8" w14:textId="77777777" w:rsidTr="00660716">
        <w:trPr>
          <w:trHeight w:val="277"/>
        </w:trPr>
        <w:tc>
          <w:tcPr>
            <w:tcW w:w="1702" w:type="dxa"/>
            <w:tcBorders>
              <w:top w:val="nil"/>
              <w:left w:val="single" w:sz="4" w:space="0" w:color="auto"/>
              <w:bottom w:val="single" w:sz="4" w:space="0" w:color="auto"/>
              <w:right w:val="single" w:sz="4" w:space="0" w:color="auto"/>
            </w:tcBorders>
            <w:hideMark/>
          </w:tcPr>
          <w:p w14:paraId="006A294F" w14:textId="77777777" w:rsidR="00660716" w:rsidRDefault="00660716">
            <w:pPr>
              <w:ind w:left="-567" w:firstLine="56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ОБЩО:</w:t>
            </w:r>
          </w:p>
        </w:tc>
        <w:tc>
          <w:tcPr>
            <w:tcW w:w="992" w:type="dxa"/>
            <w:tcBorders>
              <w:top w:val="nil"/>
              <w:left w:val="single" w:sz="4" w:space="0" w:color="auto"/>
              <w:bottom w:val="single" w:sz="4" w:space="0" w:color="auto"/>
              <w:right w:val="single" w:sz="4" w:space="0" w:color="auto"/>
            </w:tcBorders>
            <w:hideMark/>
          </w:tcPr>
          <w:p w14:paraId="03BF704E" w14:textId="77777777" w:rsidR="00660716" w:rsidRDefault="00660716">
            <w:pPr>
              <w:ind w:left="-567" w:firstLine="56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798</w:t>
            </w:r>
          </w:p>
        </w:tc>
        <w:tc>
          <w:tcPr>
            <w:tcW w:w="993" w:type="dxa"/>
            <w:tcBorders>
              <w:top w:val="nil"/>
              <w:left w:val="single" w:sz="4" w:space="0" w:color="auto"/>
              <w:bottom w:val="single" w:sz="4" w:space="0" w:color="auto"/>
              <w:right w:val="single" w:sz="4" w:space="0" w:color="auto"/>
            </w:tcBorders>
            <w:hideMark/>
          </w:tcPr>
          <w:p w14:paraId="62440114" w14:textId="77777777" w:rsidR="00660716" w:rsidRDefault="00660716">
            <w:pPr>
              <w:ind w:left="-567" w:firstLine="56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w:t>
            </w:r>
          </w:p>
        </w:tc>
        <w:tc>
          <w:tcPr>
            <w:tcW w:w="1134" w:type="dxa"/>
            <w:tcBorders>
              <w:top w:val="nil"/>
              <w:left w:val="single" w:sz="4" w:space="0" w:color="auto"/>
              <w:bottom w:val="single" w:sz="4" w:space="0" w:color="auto"/>
              <w:right w:val="single" w:sz="4" w:space="0" w:color="auto"/>
            </w:tcBorders>
            <w:vAlign w:val="center"/>
            <w:hideMark/>
          </w:tcPr>
          <w:p w14:paraId="65EA5010" w14:textId="77777777" w:rsidR="00660716" w:rsidRDefault="00660716">
            <w:pPr>
              <w:ind w:left="-567" w:firstLine="567"/>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992" w:type="dxa"/>
            <w:tcBorders>
              <w:top w:val="nil"/>
              <w:left w:val="nil"/>
              <w:bottom w:val="single" w:sz="4" w:space="0" w:color="auto"/>
              <w:right w:val="single" w:sz="4" w:space="0" w:color="auto"/>
            </w:tcBorders>
            <w:hideMark/>
          </w:tcPr>
          <w:p w14:paraId="690E50B3" w14:textId="77777777" w:rsidR="00660716" w:rsidRDefault="00660716">
            <w:pPr>
              <w:ind w:left="-567" w:firstLine="567"/>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820</w:t>
            </w:r>
          </w:p>
        </w:tc>
        <w:tc>
          <w:tcPr>
            <w:tcW w:w="1029" w:type="dxa"/>
            <w:tcBorders>
              <w:top w:val="nil"/>
              <w:left w:val="nil"/>
              <w:bottom w:val="single" w:sz="4" w:space="0" w:color="auto"/>
              <w:right w:val="single" w:sz="4" w:space="0" w:color="auto"/>
            </w:tcBorders>
            <w:hideMark/>
          </w:tcPr>
          <w:p w14:paraId="653AC987"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16</w:t>
            </w:r>
          </w:p>
        </w:tc>
        <w:tc>
          <w:tcPr>
            <w:tcW w:w="1130" w:type="dxa"/>
            <w:tcBorders>
              <w:top w:val="nil"/>
              <w:left w:val="nil"/>
              <w:bottom w:val="single" w:sz="4" w:space="0" w:color="auto"/>
              <w:right w:val="single" w:sz="4" w:space="0" w:color="auto"/>
            </w:tcBorders>
            <w:shd w:val="clear" w:color="auto" w:fill="D9D9D9"/>
            <w:hideMark/>
          </w:tcPr>
          <w:p w14:paraId="1B522C77"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1,95</w:t>
            </w:r>
          </w:p>
        </w:tc>
        <w:tc>
          <w:tcPr>
            <w:tcW w:w="1101" w:type="dxa"/>
            <w:tcBorders>
              <w:top w:val="nil"/>
              <w:left w:val="nil"/>
              <w:bottom w:val="single" w:sz="4" w:space="0" w:color="auto"/>
              <w:right w:val="single" w:sz="4" w:space="0" w:color="auto"/>
            </w:tcBorders>
            <w:hideMark/>
          </w:tcPr>
          <w:p w14:paraId="3A80A4B4"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808</w:t>
            </w:r>
          </w:p>
        </w:tc>
        <w:tc>
          <w:tcPr>
            <w:tcW w:w="1023" w:type="dxa"/>
            <w:tcBorders>
              <w:top w:val="nil"/>
              <w:left w:val="nil"/>
              <w:bottom w:val="single" w:sz="4" w:space="0" w:color="auto"/>
              <w:right w:val="single" w:sz="4" w:space="0" w:color="auto"/>
            </w:tcBorders>
            <w:hideMark/>
          </w:tcPr>
          <w:p w14:paraId="743B4E33" w14:textId="77777777" w:rsidR="00660716" w:rsidRDefault="00660716">
            <w:pPr>
              <w:ind w:left="-567" w:firstLine="567"/>
              <w:jc w:val="center"/>
              <w:rPr>
                <w:rFonts w:ascii="Times New Roman" w:eastAsia="Times New Roman" w:hAnsi="Times New Roman" w:cs="Times New Roman"/>
                <w:sz w:val="20"/>
                <w:szCs w:val="20"/>
                <w:lang w:eastAsia="en-US"/>
              </w:rPr>
            </w:pPr>
            <w:r>
              <w:rPr>
                <w:rFonts w:ascii="Times New Roman" w:eastAsia="Times New Roman" w:hAnsi="Times New Roman" w:cs="Times New Roman"/>
                <w:sz w:val="20"/>
                <w:szCs w:val="20"/>
                <w:lang w:eastAsia="en-US"/>
              </w:rPr>
              <w:t>22</w:t>
            </w:r>
          </w:p>
        </w:tc>
        <w:tc>
          <w:tcPr>
            <w:tcW w:w="1133" w:type="dxa"/>
            <w:tcBorders>
              <w:top w:val="nil"/>
              <w:left w:val="nil"/>
              <w:bottom w:val="single" w:sz="4" w:space="0" w:color="auto"/>
              <w:right w:val="single" w:sz="4" w:space="0" w:color="auto"/>
            </w:tcBorders>
            <w:shd w:val="clear" w:color="auto" w:fill="D9D9D9"/>
            <w:hideMark/>
          </w:tcPr>
          <w:p w14:paraId="2233FF4D" w14:textId="77777777" w:rsidR="00660716" w:rsidRDefault="00660716">
            <w:pPr>
              <w:ind w:left="-567" w:firstLine="567"/>
              <w:jc w:val="center"/>
              <w:rPr>
                <w:rFonts w:ascii="Times New Roman" w:eastAsia="Times New Roman" w:hAnsi="Times New Roman" w:cs="Times New Roman"/>
                <w:sz w:val="20"/>
                <w:szCs w:val="20"/>
                <w:lang w:val="en-AU" w:eastAsia="en-US"/>
              </w:rPr>
            </w:pPr>
            <w:r>
              <w:rPr>
                <w:rFonts w:ascii="Times New Roman" w:eastAsia="Times New Roman" w:hAnsi="Times New Roman" w:cs="Times New Roman"/>
                <w:sz w:val="20"/>
                <w:szCs w:val="20"/>
              </w:rPr>
              <w:t>2,72</w:t>
            </w:r>
          </w:p>
        </w:tc>
      </w:tr>
    </w:tbl>
    <w:p w14:paraId="100CB408" w14:textId="77777777" w:rsidR="00660716" w:rsidRDefault="00660716" w:rsidP="00660716">
      <w:pPr>
        <w:ind w:left="-567" w:right="-426" w:firstLine="567"/>
        <w:jc w:val="both"/>
        <w:rPr>
          <w:rFonts w:ascii="Times New Roman" w:eastAsia="Times New Roman" w:hAnsi="Times New Roman" w:cs="Times New Roman"/>
          <w:sz w:val="28"/>
          <w:szCs w:val="28"/>
        </w:rPr>
      </w:pPr>
    </w:p>
    <w:p w14:paraId="5263559F" w14:textId="77777777" w:rsidR="00660716" w:rsidRDefault="00660716" w:rsidP="00660716">
      <w:pPr>
        <w:pStyle w:val="a4"/>
        <w:ind w:left="-567" w:right="-427" w:firstLine="567"/>
        <w:jc w:val="both"/>
        <w:rPr>
          <w:rFonts w:ascii="Times New Roman" w:eastAsia="Times New Roman" w:hAnsi="Times New Roman" w:cs="Times New Roman"/>
          <w:i/>
          <w:color w:val="000000"/>
          <w:sz w:val="28"/>
          <w:szCs w:val="28"/>
          <w:lang w:eastAsia="ar-SA"/>
        </w:rPr>
      </w:pPr>
      <w:r>
        <w:rPr>
          <w:rFonts w:ascii="Times New Roman" w:eastAsia="Times New Roman" w:hAnsi="Times New Roman" w:cs="Times New Roman"/>
          <w:sz w:val="28"/>
          <w:szCs w:val="28"/>
        </w:rPr>
        <w:t>По този показател, видно от данните в таблицата се забелязва подобряване на   резултатите на Окръжна прокуратура- Пазарджик в сравнение с предходните две отчетни години. Налице е изключително минимално влошаване на работата на районната прокуратура по този показател в сравнение с 2024 г., което не следва да бъде сочено като негатив. Въпреки, че резултатът не е притеснителен, следва да бъде проявявана по-голяма прецизност от страна на наблюдаващите прокурори при изпълнението на задълженията им при съставяне на обвинителните актове, събиране на доказателства при по-висока активност и прецизност в хода на досъдебното производство.</w:t>
      </w:r>
    </w:p>
    <w:p w14:paraId="47D88FE0" w14:textId="77777777" w:rsidR="00660716" w:rsidRDefault="00660716" w:rsidP="00660716">
      <w:pPr>
        <w:tabs>
          <w:tab w:val="left" w:pos="426"/>
        </w:tabs>
        <w:suppressAutoHyphens/>
        <w:spacing w:after="0" w:line="240" w:lineRule="auto"/>
        <w:ind w:left="-567" w:right="-426" w:firstLine="567"/>
        <w:jc w:val="both"/>
        <w:rPr>
          <w:rFonts w:ascii="Times New Roman" w:eastAsia="Times New Roman" w:hAnsi="Times New Roman" w:cs="Times New Roman"/>
          <w:i/>
          <w:color w:val="000000"/>
          <w:sz w:val="28"/>
          <w:szCs w:val="28"/>
          <w:lang w:eastAsia="ar-SA"/>
        </w:rPr>
      </w:pPr>
    </w:p>
    <w:p w14:paraId="17632B6D" w14:textId="77777777" w:rsidR="00AF4981" w:rsidRDefault="00AF4981" w:rsidP="00660716">
      <w:pPr>
        <w:tabs>
          <w:tab w:val="left" w:pos="426"/>
        </w:tabs>
        <w:suppressAutoHyphens/>
        <w:spacing w:after="0" w:line="240" w:lineRule="auto"/>
        <w:ind w:left="-567" w:right="-426" w:firstLine="567"/>
        <w:jc w:val="both"/>
        <w:rPr>
          <w:rFonts w:ascii="Times New Roman" w:eastAsia="Times New Roman" w:hAnsi="Times New Roman" w:cs="Times New Roman"/>
          <w:i/>
          <w:color w:val="000000"/>
          <w:sz w:val="28"/>
          <w:szCs w:val="28"/>
          <w:lang w:eastAsia="ar-SA"/>
        </w:rPr>
      </w:pPr>
    </w:p>
    <w:p w14:paraId="6F569280" w14:textId="77777777" w:rsidR="00AF4981" w:rsidRDefault="00AF4981" w:rsidP="00660716">
      <w:pPr>
        <w:tabs>
          <w:tab w:val="left" w:pos="426"/>
        </w:tabs>
        <w:suppressAutoHyphens/>
        <w:spacing w:after="0" w:line="240" w:lineRule="auto"/>
        <w:ind w:left="-567" w:right="-426" w:firstLine="567"/>
        <w:jc w:val="both"/>
        <w:rPr>
          <w:rFonts w:ascii="Times New Roman" w:eastAsia="Times New Roman" w:hAnsi="Times New Roman" w:cs="Times New Roman"/>
          <w:i/>
          <w:color w:val="000000"/>
          <w:sz w:val="28"/>
          <w:szCs w:val="28"/>
          <w:lang w:eastAsia="ar-SA"/>
        </w:rPr>
      </w:pPr>
    </w:p>
    <w:p w14:paraId="5A14596B" w14:textId="77777777" w:rsidR="00660716" w:rsidRDefault="00660716" w:rsidP="00660716">
      <w:pPr>
        <w:tabs>
          <w:tab w:val="left" w:pos="426"/>
        </w:tabs>
        <w:suppressAutoHyphens/>
        <w:spacing w:after="0" w:line="240" w:lineRule="auto"/>
        <w:ind w:left="-567" w:right="-426" w:firstLine="567"/>
        <w:jc w:val="both"/>
        <w:rPr>
          <w:rFonts w:ascii="Times New Roman" w:eastAsia="Times New Roman" w:hAnsi="Times New Roman" w:cs="Times New Roman"/>
          <w:i/>
          <w:color w:val="000000"/>
          <w:sz w:val="28"/>
          <w:szCs w:val="28"/>
          <w:lang w:eastAsia="ar-SA"/>
        </w:rPr>
      </w:pPr>
      <w:r>
        <w:rPr>
          <w:rFonts w:ascii="Times New Roman" w:eastAsia="Times New Roman" w:hAnsi="Times New Roman" w:cs="Times New Roman"/>
          <w:i/>
          <w:color w:val="000000"/>
          <w:sz w:val="28"/>
          <w:szCs w:val="28"/>
          <w:lang w:eastAsia="ar-SA"/>
        </w:rPr>
        <w:lastRenderedPageBreak/>
        <w:t>2.3. Върнати от съда дела</w:t>
      </w:r>
    </w:p>
    <w:p w14:paraId="59B73DEE" w14:textId="77777777" w:rsidR="00660716" w:rsidRDefault="00660716" w:rsidP="00660716">
      <w:pPr>
        <w:tabs>
          <w:tab w:val="left" w:pos="426"/>
        </w:tabs>
        <w:suppressAutoHyphens/>
        <w:spacing w:after="0" w:line="240" w:lineRule="auto"/>
        <w:ind w:left="-567" w:right="-426" w:firstLine="567"/>
        <w:jc w:val="both"/>
        <w:rPr>
          <w:rFonts w:ascii="Times New Roman" w:eastAsia="Times New Roman" w:hAnsi="Times New Roman" w:cs="Times New Roman"/>
          <w:i/>
          <w:sz w:val="28"/>
          <w:szCs w:val="28"/>
          <w:lang w:eastAsia="ar-SA"/>
        </w:rPr>
      </w:pPr>
    </w:p>
    <w:p w14:paraId="65CFA80E"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lang w:eastAsia="ar-SA"/>
        </w:rPr>
        <w:t xml:space="preserve">През отчетната 2025 г. </w:t>
      </w:r>
      <w:r>
        <w:rPr>
          <w:rFonts w:ascii="Times New Roman" w:eastAsia="Times New Roman" w:hAnsi="Times New Roman" w:cs="Times New Roman"/>
          <w:sz w:val="28"/>
          <w:szCs w:val="28"/>
        </w:rPr>
        <w:t>съдилищата са върнали на прокуратурите от съдебен район Пазарджик 21 дела, което е 2,66% от внесените общо 789 прокурорски актове в съд. През 2024 . са били върнати общо 27 дела при внесени общо 823 прокурорски актове в съда, или 3,28%, а през 2023 г. са били върнати 31 дела при внесени общо 798 прокурорски актове, или 3,9</w:t>
      </w:r>
      <w:bookmarkStart w:id="46" w:name="OLE_LINK55"/>
      <w:r>
        <w:rPr>
          <w:rFonts w:ascii="Times New Roman" w:eastAsia="Times New Roman" w:hAnsi="Times New Roman" w:cs="Times New Roman"/>
          <w:color w:val="000000" w:themeColor="text1"/>
          <w:sz w:val="28"/>
          <w:szCs w:val="28"/>
        </w:rPr>
        <w:t xml:space="preserve">%. Отбелязва се известно намаляване на върнатите от съда дела в сравнение с предходните години, което е положително и показателно </w:t>
      </w:r>
      <w:r>
        <w:rPr>
          <w:rFonts w:ascii="Times New Roman" w:eastAsia="Times New Roman" w:hAnsi="Times New Roman" w:cs="Times New Roman"/>
          <w:color w:val="000000" w:themeColor="text1"/>
          <w:sz w:val="28"/>
          <w:szCs w:val="28"/>
          <w:lang w:eastAsia="ar-SA"/>
        </w:rPr>
        <w:t xml:space="preserve">за добре изготвени и мотивирани прокурорски актове. Тази тенденция следва да се запази и занапред. </w:t>
      </w:r>
      <w:r>
        <w:rPr>
          <w:rFonts w:ascii="Times New Roman" w:eastAsia="Times New Roman" w:hAnsi="Times New Roman" w:cs="Times New Roman"/>
          <w:color w:val="000000" w:themeColor="text1"/>
          <w:sz w:val="28"/>
          <w:szCs w:val="28"/>
        </w:rPr>
        <w:t xml:space="preserve"> </w:t>
      </w:r>
    </w:p>
    <w:bookmarkEnd w:id="46"/>
    <w:p w14:paraId="6A6EFDB2" w14:textId="77777777" w:rsidR="00660716" w:rsidRDefault="00660716" w:rsidP="00660716">
      <w:pPr>
        <w:tabs>
          <w:tab w:val="left" w:pos="426"/>
        </w:tabs>
        <w:suppressAutoHyphens/>
        <w:spacing w:after="0" w:line="240" w:lineRule="auto"/>
        <w:ind w:left="-567" w:right="-427" w:firstLine="567"/>
        <w:jc w:val="center"/>
        <w:rPr>
          <w:rFonts w:ascii="Times New Roman" w:eastAsia="Times New Roman" w:hAnsi="Times New Roman" w:cs="Times New Roman"/>
          <w:b/>
          <w:color w:val="FF0000"/>
          <w:kern w:val="24"/>
          <w:sz w:val="28"/>
          <w:szCs w:val="28"/>
        </w:rPr>
      </w:pPr>
    </w:p>
    <w:p w14:paraId="3F0782FC" w14:textId="77777777" w:rsidR="00660716" w:rsidRDefault="00660716" w:rsidP="00660716">
      <w:pPr>
        <w:tabs>
          <w:tab w:val="left" w:pos="426"/>
        </w:tabs>
        <w:suppressAutoHyphens/>
        <w:spacing w:after="0" w:line="240" w:lineRule="auto"/>
        <w:ind w:left="-567" w:right="-427" w:firstLine="567"/>
        <w:jc w:val="center"/>
        <w:rPr>
          <w:rFonts w:ascii="Times New Roman" w:eastAsia="Times New Roman" w:hAnsi="Times New Roman" w:cs="Times New Roman"/>
          <w:b/>
          <w:color w:val="FF0000"/>
          <w:kern w:val="24"/>
          <w:sz w:val="28"/>
          <w:szCs w:val="28"/>
        </w:rPr>
      </w:pPr>
      <w:r>
        <w:rPr>
          <w:rFonts w:ascii="Times New Roman" w:eastAsia="Times New Roman" w:hAnsi="Times New Roman" w:cs="Times New Roman"/>
          <w:b/>
          <w:noProof/>
          <w:color w:val="FF0000"/>
          <w:kern w:val="24"/>
          <w:sz w:val="28"/>
          <w:szCs w:val="28"/>
        </w:rPr>
        <w:drawing>
          <wp:inline distT="0" distB="0" distL="0" distR="0" wp14:anchorId="610308BB" wp14:editId="4C72CD9E">
            <wp:extent cx="4572000" cy="3432175"/>
            <wp:effectExtent l="0" t="0" r="0" b="0"/>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32175"/>
                    </a:xfrm>
                    <a:prstGeom prst="rect">
                      <a:avLst/>
                    </a:prstGeom>
                    <a:noFill/>
                    <a:ln>
                      <a:noFill/>
                    </a:ln>
                  </pic:spPr>
                </pic:pic>
              </a:graphicData>
            </a:graphic>
          </wp:inline>
        </w:drawing>
      </w:r>
    </w:p>
    <w:p w14:paraId="1E38D7EA" w14:textId="77777777" w:rsidR="00660716" w:rsidRDefault="00660716" w:rsidP="00660716">
      <w:pPr>
        <w:tabs>
          <w:tab w:val="left" w:pos="426"/>
        </w:tabs>
        <w:suppressAutoHyphens/>
        <w:spacing w:after="0" w:line="240" w:lineRule="auto"/>
        <w:ind w:left="-567" w:right="-427" w:firstLine="567"/>
        <w:jc w:val="center"/>
        <w:rPr>
          <w:rFonts w:ascii="Times New Roman" w:eastAsia="Times New Roman" w:hAnsi="Times New Roman" w:cs="Times New Roman"/>
          <w:b/>
          <w:color w:val="FF0000"/>
          <w:kern w:val="24"/>
          <w:sz w:val="28"/>
          <w:szCs w:val="28"/>
        </w:rPr>
      </w:pPr>
    </w:p>
    <w:p w14:paraId="05BFE1BC"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По прокуратури данните са следните:</w:t>
      </w:r>
    </w:p>
    <w:tbl>
      <w:tblPr>
        <w:tblStyle w:val="12"/>
        <w:tblpPr w:leftFromText="141" w:rightFromText="141" w:vertAnchor="text" w:horzAnchor="margin" w:tblpXSpec="center" w:tblpY="155"/>
        <w:tblW w:w="0" w:type="auto"/>
        <w:tblInd w:w="0" w:type="dxa"/>
        <w:tblLook w:val="04A0" w:firstRow="1" w:lastRow="0" w:firstColumn="1" w:lastColumn="0" w:noHBand="0" w:noVBand="1"/>
      </w:tblPr>
      <w:tblGrid>
        <w:gridCol w:w="1842"/>
        <w:gridCol w:w="1842"/>
        <w:gridCol w:w="1842"/>
        <w:gridCol w:w="1843"/>
        <w:gridCol w:w="1843"/>
      </w:tblGrid>
      <w:tr w:rsidR="00660716" w14:paraId="0148BF4B" w14:textId="77777777" w:rsidTr="00660716">
        <w:trPr>
          <w:trHeight w:val="318"/>
        </w:trPr>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43A5D7" w14:textId="77777777" w:rsidR="00660716" w:rsidRDefault="00660716">
            <w:pPr>
              <w:tabs>
                <w:tab w:val="left" w:pos="426"/>
              </w:tabs>
              <w:spacing w:line="276" w:lineRule="auto"/>
              <w:ind w:left="-567" w:right="-427" w:firstLine="567"/>
              <w:rPr>
                <w:rFonts w:ascii="Times New Roman" w:hAnsi="Times New Roman"/>
                <w:b/>
                <w:lang w:eastAsia="ar-SA"/>
              </w:rPr>
            </w:pPr>
            <w:r>
              <w:rPr>
                <w:rFonts w:ascii="Times New Roman" w:hAnsi="Times New Roman"/>
                <w:b/>
                <w:lang w:eastAsia="ar-SA"/>
              </w:rPr>
              <w:t>Прокуратури</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3DF9F5" w14:textId="77777777" w:rsidR="00660716" w:rsidRDefault="00660716">
            <w:pPr>
              <w:tabs>
                <w:tab w:val="left" w:pos="426"/>
              </w:tabs>
              <w:spacing w:line="276" w:lineRule="auto"/>
              <w:ind w:left="-567" w:right="-427" w:firstLine="567"/>
              <w:rPr>
                <w:rFonts w:ascii="Times New Roman" w:hAnsi="Times New Roman"/>
                <w:b/>
                <w:lang w:eastAsia="ar-SA"/>
              </w:rPr>
            </w:pPr>
            <w:r>
              <w:rPr>
                <w:rFonts w:ascii="Times New Roman" w:hAnsi="Times New Roman"/>
                <w:b/>
                <w:lang w:eastAsia="ar-SA"/>
              </w:rPr>
              <w:t>година</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AADF1B" w14:textId="77777777" w:rsidR="00660716" w:rsidRDefault="00660716">
            <w:pPr>
              <w:tabs>
                <w:tab w:val="left" w:pos="426"/>
              </w:tabs>
              <w:ind w:left="-567" w:right="-427" w:firstLine="567"/>
              <w:rPr>
                <w:rFonts w:ascii="Times New Roman" w:hAnsi="Times New Roman"/>
                <w:b/>
                <w:lang w:val="en-US" w:eastAsia="ar-SA"/>
              </w:rPr>
            </w:pPr>
            <w:r>
              <w:rPr>
                <w:rFonts w:ascii="Times New Roman" w:hAnsi="Times New Roman"/>
                <w:b/>
                <w:lang w:eastAsia="ar-SA"/>
              </w:rPr>
              <w:t xml:space="preserve">Прокурорски актове, внесени </w:t>
            </w:r>
          </w:p>
          <w:p w14:paraId="193DE401" w14:textId="77777777" w:rsidR="00660716" w:rsidRDefault="00660716">
            <w:pPr>
              <w:tabs>
                <w:tab w:val="left" w:pos="426"/>
              </w:tabs>
              <w:spacing w:line="276" w:lineRule="auto"/>
              <w:ind w:left="-567" w:right="-427" w:firstLine="567"/>
              <w:rPr>
                <w:rFonts w:ascii="Times New Roman" w:hAnsi="Times New Roman"/>
                <w:b/>
                <w:lang w:eastAsia="ar-SA"/>
              </w:rPr>
            </w:pPr>
            <w:r>
              <w:rPr>
                <w:rFonts w:ascii="Times New Roman" w:hAnsi="Times New Roman"/>
                <w:b/>
                <w:lang w:eastAsia="ar-SA"/>
              </w:rPr>
              <w:t>в съд</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60C1FE" w14:textId="77777777" w:rsidR="00660716" w:rsidRDefault="00660716">
            <w:pPr>
              <w:tabs>
                <w:tab w:val="left" w:pos="426"/>
              </w:tabs>
              <w:spacing w:line="276" w:lineRule="auto"/>
              <w:ind w:left="-567" w:right="-427" w:firstLine="567"/>
              <w:rPr>
                <w:rFonts w:ascii="Times New Roman" w:hAnsi="Times New Roman"/>
                <w:b/>
                <w:lang w:eastAsia="ar-SA"/>
              </w:rPr>
            </w:pPr>
            <w:r>
              <w:rPr>
                <w:rFonts w:ascii="Times New Roman" w:hAnsi="Times New Roman"/>
                <w:b/>
                <w:lang w:eastAsia="ar-SA"/>
              </w:rPr>
              <w:t>Върнати от съда дела</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FF1FFC" w14:textId="77777777" w:rsidR="00660716" w:rsidRDefault="00660716">
            <w:pPr>
              <w:tabs>
                <w:tab w:val="left" w:pos="426"/>
              </w:tabs>
              <w:ind w:left="-567" w:right="-427" w:firstLine="567"/>
              <w:rPr>
                <w:rFonts w:ascii="Times New Roman" w:hAnsi="Times New Roman"/>
                <w:b/>
                <w:lang w:eastAsia="ar-SA"/>
              </w:rPr>
            </w:pPr>
            <w:r>
              <w:rPr>
                <w:rFonts w:ascii="Times New Roman" w:hAnsi="Times New Roman"/>
                <w:b/>
                <w:lang w:eastAsia="ar-SA"/>
              </w:rPr>
              <w:t xml:space="preserve">Относителен </w:t>
            </w:r>
          </w:p>
          <w:p w14:paraId="6E7B0A58" w14:textId="77777777" w:rsidR="00660716" w:rsidRDefault="00660716">
            <w:pPr>
              <w:tabs>
                <w:tab w:val="left" w:pos="426"/>
              </w:tabs>
              <w:spacing w:line="276" w:lineRule="auto"/>
              <w:ind w:left="-567" w:right="-427" w:firstLine="567"/>
              <w:rPr>
                <w:rFonts w:ascii="Times New Roman" w:hAnsi="Times New Roman"/>
                <w:b/>
                <w:lang w:eastAsia="ar-SA"/>
              </w:rPr>
            </w:pPr>
            <w:r>
              <w:rPr>
                <w:rFonts w:ascii="Times New Roman" w:hAnsi="Times New Roman"/>
                <w:b/>
                <w:lang w:eastAsia="ar-SA"/>
              </w:rPr>
              <w:t xml:space="preserve">дял </w:t>
            </w:r>
          </w:p>
        </w:tc>
      </w:tr>
      <w:tr w:rsidR="00660716" w14:paraId="5024598C" w14:textId="77777777" w:rsidTr="00660716">
        <w:tc>
          <w:tcPr>
            <w:tcW w:w="1842" w:type="dxa"/>
            <w:vMerge w:val="restart"/>
            <w:tcBorders>
              <w:top w:val="single" w:sz="4" w:space="0" w:color="auto"/>
              <w:left w:val="single" w:sz="4" w:space="0" w:color="auto"/>
              <w:bottom w:val="single" w:sz="4" w:space="0" w:color="auto"/>
              <w:right w:val="single" w:sz="4" w:space="0" w:color="auto"/>
            </w:tcBorders>
            <w:hideMark/>
          </w:tcPr>
          <w:p w14:paraId="5EDF5452" w14:textId="77777777" w:rsidR="00660716" w:rsidRDefault="00660716">
            <w:pPr>
              <w:tabs>
                <w:tab w:val="left" w:pos="426"/>
              </w:tabs>
              <w:suppressAutoHyphens/>
              <w:ind w:left="-567" w:right="-427" w:firstLine="567"/>
              <w:jc w:val="both"/>
              <w:rPr>
                <w:rFonts w:ascii="Times New Roman" w:hAnsi="Times New Roman"/>
                <w:sz w:val="28"/>
                <w:szCs w:val="28"/>
                <w:lang w:eastAsia="ar-SA"/>
              </w:rPr>
            </w:pPr>
            <w:r>
              <w:rPr>
                <w:rFonts w:ascii="Times New Roman" w:hAnsi="Times New Roman"/>
                <w:b/>
                <w:lang w:eastAsia="ar-SA"/>
              </w:rPr>
              <w:t>ОП  Пазарджик</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B2B0D9"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2025 г.</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3738B8"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58</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87B40C"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9</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31BF5" w14:textId="77777777" w:rsidR="00660716" w:rsidRDefault="00660716">
            <w:pPr>
              <w:tabs>
                <w:tab w:val="left" w:pos="426"/>
              </w:tabs>
              <w:spacing w:line="276" w:lineRule="auto"/>
              <w:ind w:left="-567" w:right="-427" w:firstLine="567"/>
              <w:rPr>
                <w:rFonts w:ascii="Times New Roman" w:hAnsi="Times New Roman"/>
              </w:rPr>
            </w:pPr>
            <w:r>
              <w:rPr>
                <w:rFonts w:ascii="Times New Roman" w:hAnsi="Times New Roman"/>
              </w:rPr>
              <w:t>15,5 %</w:t>
            </w:r>
          </w:p>
        </w:tc>
      </w:tr>
      <w:tr w:rsidR="00660716" w14:paraId="15A8D75E" w14:textId="77777777" w:rsidTr="00660716">
        <w:tc>
          <w:tcPr>
            <w:tcW w:w="0" w:type="auto"/>
            <w:vMerge/>
            <w:tcBorders>
              <w:top w:val="single" w:sz="4" w:space="0" w:color="auto"/>
              <w:left w:val="single" w:sz="4" w:space="0" w:color="auto"/>
              <w:bottom w:val="single" w:sz="4" w:space="0" w:color="auto"/>
              <w:right w:val="single" w:sz="4" w:space="0" w:color="auto"/>
            </w:tcBorders>
            <w:vAlign w:val="center"/>
            <w:hideMark/>
          </w:tcPr>
          <w:p w14:paraId="1D8C3E02" w14:textId="77777777" w:rsidR="00660716" w:rsidRDefault="00660716">
            <w:pPr>
              <w:rPr>
                <w:rFonts w:ascii="Times New Roman" w:eastAsia="Times New Roman" w:hAnsi="Times New Roman"/>
                <w:sz w:val="28"/>
                <w:szCs w:val="28"/>
                <w:lang w:eastAsia="ar-SA"/>
              </w:rPr>
            </w:pPr>
          </w:p>
        </w:tc>
        <w:tc>
          <w:tcPr>
            <w:tcW w:w="1842" w:type="dxa"/>
            <w:tcBorders>
              <w:top w:val="single" w:sz="4" w:space="0" w:color="auto"/>
              <w:left w:val="single" w:sz="4" w:space="0" w:color="auto"/>
              <w:bottom w:val="single" w:sz="4" w:space="0" w:color="auto"/>
              <w:right w:val="single" w:sz="4" w:space="0" w:color="auto"/>
            </w:tcBorders>
            <w:hideMark/>
          </w:tcPr>
          <w:p w14:paraId="283386A7"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2024 г.</w:t>
            </w:r>
          </w:p>
        </w:tc>
        <w:tc>
          <w:tcPr>
            <w:tcW w:w="1842" w:type="dxa"/>
            <w:tcBorders>
              <w:top w:val="single" w:sz="4" w:space="0" w:color="auto"/>
              <w:left w:val="single" w:sz="4" w:space="0" w:color="auto"/>
              <w:bottom w:val="single" w:sz="4" w:space="0" w:color="auto"/>
              <w:right w:val="single" w:sz="4" w:space="0" w:color="auto"/>
            </w:tcBorders>
            <w:hideMark/>
          </w:tcPr>
          <w:p w14:paraId="5BC189C9"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66</w:t>
            </w:r>
          </w:p>
        </w:tc>
        <w:tc>
          <w:tcPr>
            <w:tcW w:w="1843" w:type="dxa"/>
            <w:tcBorders>
              <w:top w:val="single" w:sz="4" w:space="0" w:color="auto"/>
              <w:left w:val="single" w:sz="4" w:space="0" w:color="auto"/>
              <w:bottom w:val="single" w:sz="4" w:space="0" w:color="auto"/>
              <w:right w:val="single" w:sz="4" w:space="0" w:color="auto"/>
            </w:tcBorders>
            <w:hideMark/>
          </w:tcPr>
          <w:p w14:paraId="2ACFCB0C"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0AD5BD6" w14:textId="77777777" w:rsidR="00660716" w:rsidRDefault="00660716">
            <w:pPr>
              <w:tabs>
                <w:tab w:val="left" w:pos="426"/>
              </w:tabs>
              <w:spacing w:line="276" w:lineRule="auto"/>
              <w:ind w:left="-567" w:right="-427" w:firstLine="567"/>
              <w:rPr>
                <w:rFonts w:ascii="Times New Roman" w:hAnsi="Times New Roman"/>
              </w:rPr>
            </w:pPr>
            <w:r>
              <w:rPr>
                <w:rFonts w:ascii="Times New Roman" w:hAnsi="Times New Roman"/>
              </w:rPr>
              <w:t>12,1 %</w:t>
            </w:r>
          </w:p>
        </w:tc>
      </w:tr>
      <w:tr w:rsidR="00660716" w14:paraId="0367277F" w14:textId="77777777" w:rsidTr="00660716">
        <w:tc>
          <w:tcPr>
            <w:tcW w:w="0" w:type="auto"/>
            <w:vMerge/>
            <w:tcBorders>
              <w:top w:val="single" w:sz="4" w:space="0" w:color="auto"/>
              <w:left w:val="single" w:sz="4" w:space="0" w:color="auto"/>
              <w:bottom w:val="single" w:sz="4" w:space="0" w:color="auto"/>
              <w:right w:val="single" w:sz="4" w:space="0" w:color="auto"/>
            </w:tcBorders>
            <w:vAlign w:val="center"/>
            <w:hideMark/>
          </w:tcPr>
          <w:p w14:paraId="095AF497" w14:textId="77777777" w:rsidR="00660716" w:rsidRDefault="00660716">
            <w:pPr>
              <w:rPr>
                <w:rFonts w:ascii="Times New Roman" w:eastAsia="Times New Roman" w:hAnsi="Times New Roman"/>
                <w:sz w:val="28"/>
                <w:szCs w:val="28"/>
                <w:lang w:eastAsia="ar-SA"/>
              </w:rPr>
            </w:pPr>
          </w:p>
        </w:tc>
        <w:tc>
          <w:tcPr>
            <w:tcW w:w="1842" w:type="dxa"/>
            <w:tcBorders>
              <w:top w:val="single" w:sz="4" w:space="0" w:color="auto"/>
              <w:left w:val="single" w:sz="4" w:space="0" w:color="auto"/>
              <w:bottom w:val="single" w:sz="4" w:space="0" w:color="auto"/>
              <w:right w:val="single" w:sz="4" w:space="0" w:color="auto"/>
            </w:tcBorders>
            <w:hideMark/>
          </w:tcPr>
          <w:p w14:paraId="0165EFC2"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2023 г.</w:t>
            </w:r>
          </w:p>
        </w:tc>
        <w:tc>
          <w:tcPr>
            <w:tcW w:w="1842" w:type="dxa"/>
            <w:tcBorders>
              <w:top w:val="single" w:sz="4" w:space="0" w:color="auto"/>
              <w:left w:val="single" w:sz="4" w:space="0" w:color="auto"/>
              <w:bottom w:val="single" w:sz="4" w:space="0" w:color="auto"/>
              <w:right w:val="single" w:sz="4" w:space="0" w:color="auto"/>
            </w:tcBorders>
            <w:hideMark/>
          </w:tcPr>
          <w:p w14:paraId="3EAB855C"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81</w:t>
            </w:r>
          </w:p>
        </w:tc>
        <w:tc>
          <w:tcPr>
            <w:tcW w:w="1843" w:type="dxa"/>
            <w:tcBorders>
              <w:top w:val="single" w:sz="4" w:space="0" w:color="auto"/>
              <w:left w:val="single" w:sz="4" w:space="0" w:color="auto"/>
              <w:bottom w:val="single" w:sz="4" w:space="0" w:color="auto"/>
              <w:right w:val="single" w:sz="4" w:space="0" w:color="auto"/>
            </w:tcBorders>
            <w:hideMark/>
          </w:tcPr>
          <w:p w14:paraId="5527EC22"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11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9AA98B" w14:textId="77777777" w:rsidR="00660716" w:rsidRDefault="00660716">
            <w:pPr>
              <w:tabs>
                <w:tab w:val="left" w:pos="426"/>
              </w:tabs>
              <w:spacing w:line="276" w:lineRule="auto"/>
              <w:ind w:left="-567" w:right="-427" w:firstLine="567"/>
              <w:rPr>
                <w:rFonts w:ascii="Times New Roman" w:hAnsi="Times New Roman"/>
              </w:rPr>
            </w:pPr>
            <w:r>
              <w:rPr>
                <w:rFonts w:ascii="Times New Roman" w:hAnsi="Times New Roman"/>
              </w:rPr>
              <w:t>13,6 %</w:t>
            </w:r>
          </w:p>
        </w:tc>
      </w:tr>
      <w:tr w:rsidR="00660716" w14:paraId="2915B545" w14:textId="77777777" w:rsidTr="00660716">
        <w:tc>
          <w:tcPr>
            <w:tcW w:w="1842" w:type="dxa"/>
            <w:vMerge w:val="restart"/>
            <w:tcBorders>
              <w:top w:val="single" w:sz="4" w:space="0" w:color="auto"/>
              <w:left w:val="single" w:sz="4" w:space="0" w:color="auto"/>
              <w:bottom w:val="single" w:sz="4" w:space="0" w:color="auto"/>
              <w:right w:val="single" w:sz="4" w:space="0" w:color="auto"/>
            </w:tcBorders>
            <w:hideMark/>
          </w:tcPr>
          <w:p w14:paraId="2762D921" w14:textId="77777777" w:rsidR="00660716" w:rsidRDefault="00660716">
            <w:pPr>
              <w:tabs>
                <w:tab w:val="left" w:pos="426"/>
              </w:tabs>
              <w:suppressAutoHyphens/>
              <w:ind w:left="-567" w:right="-427" w:firstLine="567"/>
              <w:jc w:val="both"/>
              <w:rPr>
                <w:rFonts w:ascii="Times New Roman" w:hAnsi="Times New Roman"/>
                <w:sz w:val="28"/>
                <w:szCs w:val="28"/>
                <w:lang w:eastAsia="ar-SA"/>
              </w:rPr>
            </w:pPr>
            <w:r>
              <w:rPr>
                <w:rFonts w:ascii="Times New Roman" w:hAnsi="Times New Roman"/>
                <w:b/>
                <w:lang w:eastAsia="ar-SA"/>
              </w:rPr>
              <w:t>РП  Пазарджик</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307DFD"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2025 г.</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5E12D3"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731</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05002A"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12</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E45174" w14:textId="77777777" w:rsidR="00660716" w:rsidRDefault="00660716">
            <w:pPr>
              <w:tabs>
                <w:tab w:val="left" w:pos="426"/>
              </w:tabs>
              <w:spacing w:line="276" w:lineRule="auto"/>
              <w:ind w:left="-567" w:right="-427" w:firstLine="567"/>
              <w:rPr>
                <w:rFonts w:ascii="Times New Roman" w:hAnsi="Times New Roman"/>
              </w:rPr>
            </w:pPr>
            <w:r>
              <w:rPr>
                <w:rFonts w:ascii="Times New Roman" w:hAnsi="Times New Roman"/>
              </w:rPr>
              <w:t>1,6 %</w:t>
            </w:r>
          </w:p>
        </w:tc>
      </w:tr>
      <w:tr w:rsidR="00660716" w14:paraId="6FEE9216" w14:textId="77777777" w:rsidTr="00660716">
        <w:tc>
          <w:tcPr>
            <w:tcW w:w="0" w:type="auto"/>
            <w:vMerge/>
            <w:tcBorders>
              <w:top w:val="single" w:sz="4" w:space="0" w:color="auto"/>
              <w:left w:val="single" w:sz="4" w:space="0" w:color="auto"/>
              <w:bottom w:val="single" w:sz="4" w:space="0" w:color="auto"/>
              <w:right w:val="single" w:sz="4" w:space="0" w:color="auto"/>
            </w:tcBorders>
            <w:vAlign w:val="center"/>
            <w:hideMark/>
          </w:tcPr>
          <w:p w14:paraId="40D7E1A5" w14:textId="77777777" w:rsidR="00660716" w:rsidRDefault="00660716">
            <w:pPr>
              <w:rPr>
                <w:rFonts w:ascii="Times New Roman" w:eastAsia="Times New Roman" w:hAnsi="Times New Roman"/>
                <w:sz w:val="28"/>
                <w:szCs w:val="28"/>
                <w:lang w:eastAsia="ar-SA"/>
              </w:rPr>
            </w:pPr>
          </w:p>
        </w:tc>
        <w:tc>
          <w:tcPr>
            <w:tcW w:w="1842" w:type="dxa"/>
            <w:tcBorders>
              <w:top w:val="single" w:sz="4" w:space="0" w:color="auto"/>
              <w:left w:val="single" w:sz="4" w:space="0" w:color="auto"/>
              <w:bottom w:val="single" w:sz="4" w:space="0" w:color="auto"/>
              <w:right w:val="single" w:sz="4" w:space="0" w:color="auto"/>
            </w:tcBorders>
            <w:hideMark/>
          </w:tcPr>
          <w:p w14:paraId="34F85F05"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2024 г.</w:t>
            </w:r>
          </w:p>
        </w:tc>
        <w:tc>
          <w:tcPr>
            <w:tcW w:w="1842" w:type="dxa"/>
            <w:tcBorders>
              <w:top w:val="single" w:sz="4" w:space="0" w:color="auto"/>
              <w:left w:val="single" w:sz="4" w:space="0" w:color="auto"/>
              <w:bottom w:val="single" w:sz="4" w:space="0" w:color="auto"/>
              <w:right w:val="single" w:sz="4" w:space="0" w:color="auto"/>
            </w:tcBorders>
            <w:hideMark/>
          </w:tcPr>
          <w:p w14:paraId="376201C2"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757</w:t>
            </w:r>
          </w:p>
        </w:tc>
        <w:tc>
          <w:tcPr>
            <w:tcW w:w="1843" w:type="dxa"/>
            <w:tcBorders>
              <w:top w:val="single" w:sz="4" w:space="0" w:color="auto"/>
              <w:left w:val="single" w:sz="4" w:space="0" w:color="auto"/>
              <w:bottom w:val="single" w:sz="4" w:space="0" w:color="auto"/>
              <w:right w:val="single" w:sz="4" w:space="0" w:color="auto"/>
            </w:tcBorders>
            <w:hideMark/>
          </w:tcPr>
          <w:p w14:paraId="45EA3922"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9E9608" w14:textId="77777777" w:rsidR="00660716" w:rsidRDefault="00660716">
            <w:pPr>
              <w:tabs>
                <w:tab w:val="left" w:pos="426"/>
              </w:tabs>
              <w:spacing w:line="276" w:lineRule="auto"/>
              <w:ind w:left="-567" w:right="-427" w:firstLine="567"/>
              <w:rPr>
                <w:rFonts w:ascii="Times New Roman" w:hAnsi="Times New Roman"/>
              </w:rPr>
            </w:pPr>
            <w:r>
              <w:rPr>
                <w:rFonts w:ascii="Times New Roman" w:hAnsi="Times New Roman"/>
              </w:rPr>
              <w:t>2,5 %</w:t>
            </w:r>
          </w:p>
        </w:tc>
      </w:tr>
      <w:tr w:rsidR="00660716" w14:paraId="520933E8" w14:textId="77777777" w:rsidTr="00660716">
        <w:tc>
          <w:tcPr>
            <w:tcW w:w="0" w:type="auto"/>
            <w:vMerge/>
            <w:tcBorders>
              <w:top w:val="single" w:sz="4" w:space="0" w:color="auto"/>
              <w:left w:val="single" w:sz="4" w:space="0" w:color="auto"/>
              <w:bottom w:val="single" w:sz="4" w:space="0" w:color="auto"/>
              <w:right w:val="single" w:sz="4" w:space="0" w:color="auto"/>
            </w:tcBorders>
            <w:vAlign w:val="center"/>
            <w:hideMark/>
          </w:tcPr>
          <w:p w14:paraId="2E674663" w14:textId="77777777" w:rsidR="00660716" w:rsidRDefault="00660716">
            <w:pPr>
              <w:rPr>
                <w:rFonts w:ascii="Times New Roman" w:eastAsia="Times New Roman" w:hAnsi="Times New Roman"/>
                <w:sz w:val="28"/>
                <w:szCs w:val="28"/>
                <w:lang w:eastAsia="ar-SA"/>
              </w:rPr>
            </w:pPr>
          </w:p>
        </w:tc>
        <w:tc>
          <w:tcPr>
            <w:tcW w:w="1842" w:type="dxa"/>
            <w:tcBorders>
              <w:top w:val="single" w:sz="4" w:space="0" w:color="auto"/>
              <w:left w:val="single" w:sz="4" w:space="0" w:color="auto"/>
              <w:bottom w:val="single" w:sz="4" w:space="0" w:color="auto"/>
              <w:right w:val="single" w:sz="4" w:space="0" w:color="auto"/>
            </w:tcBorders>
            <w:hideMark/>
          </w:tcPr>
          <w:p w14:paraId="4B040920"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2023 г.</w:t>
            </w:r>
          </w:p>
        </w:tc>
        <w:tc>
          <w:tcPr>
            <w:tcW w:w="1842" w:type="dxa"/>
            <w:tcBorders>
              <w:top w:val="single" w:sz="4" w:space="0" w:color="auto"/>
              <w:left w:val="single" w:sz="4" w:space="0" w:color="auto"/>
              <w:bottom w:val="single" w:sz="4" w:space="0" w:color="auto"/>
              <w:right w:val="single" w:sz="4" w:space="0" w:color="auto"/>
            </w:tcBorders>
            <w:hideMark/>
          </w:tcPr>
          <w:p w14:paraId="74DEDD33"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717</w:t>
            </w:r>
          </w:p>
        </w:tc>
        <w:tc>
          <w:tcPr>
            <w:tcW w:w="1843" w:type="dxa"/>
            <w:tcBorders>
              <w:top w:val="single" w:sz="4" w:space="0" w:color="auto"/>
              <w:left w:val="single" w:sz="4" w:space="0" w:color="auto"/>
              <w:bottom w:val="single" w:sz="4" w:space="0" w:color="auto"/>
              <w:right w:val="single" w:sz="4" w:space="0" w:color="auto"/>
            </w:tcBorders>
            <w:hideMark/>
          </w:tcPr>
          <w:p w14:paraId="24D8DFCC" w14:textId="77777777" w:rsidR="00660716" w:rsidRDefault="00660716">
            <w:pPr>
              <w:tabs>
                <w:tab w:val="left" w:pos="426"/>
              </w:tabs>
              <w:spacing w:line="276" w:lineRule="auto"/>
              <w:ind w:left="-567" w:right="-427" w:firstLine="567"/>
              <w:rPr>
                <w:rFonts w:ascii="Times New Roman" w:hAnsi="Times New Roman"/>
                <w:lang w:eastAsia="ar-SA"/>
              </w:rPr>
            </w:pPr>
            <w:r>
              <w:rPr>
                <w:rFonts w:ascii="Times New Roman" w:hAnsi="Times New Roman"/>
                <w:lang w:eastAsia="ar-SA"/>
              </w:rPr>
              <w:t>20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0E48BD" w14:textId="77777777" w:rsidR="00660716" w:rsidRDefault="00660716">
            <w:pPr>
              <w:tabs>
                <w:tab w:val="left" w:pos="426"/>
              </w:tabs>
              <w:spacing w:line="276" w:lineRule="auto"/>
              <w:ind w:left="-567" w:right="-427" w:firstLine="567"/>
              <w:rPr>
                <w:rFonts w:ascii="Times New Roman" w:hAnsi="Times New Roman"/>
              </w:rPr>
            </w:pPr>
            <w:r>
              <w:rPr>
                <w:rFonts w:ascii="Times New Roman" w:hAnsi="Times New Roman"/>
              </w:rPr>
              <w:t>2,8 %</w:t>
            </w:r>
          </w:p>
        </w:tc>
      </w:tr>
    </w:tbl>
    <w:p w14:paraId="46191C6E"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4C6476EF"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bookmarkStart w:id="47" w:name="OLE_LINK56"/>
      <w:r>
        <w:rPr>
          <w:rFonts w:ascii="Times New Roman" w:eastAsia="Times New Roman" w:hAnsi="Times New Roman" w:cs="Times New Roman"/>
          <w:sz w:val="28"/>
          <w:szCs w:val="28"/>
          <w:lang w:eastAsia="ar-SA"/>
        </w:rPr>
        <w:t>От общо 21 върнати дела за региона, 16 са по внесени обвинителни актове, 3  по внесени предложения за споразумение по чл. 381 НПК и 2 по внесени постановления за освобождаване от наказателна отговорност с налагане на административно наказание по чл. 78а НК.</w:t>
      </w:r>
    </w:p>
    <w:bookmarkEnd w:id="47"/>
    <w:p w14:paraId="453399E6"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Общият брой на внесените в съда протести срещу върнати от съда дела през  2025 година е 13. От тях: </w:t>
      </w:r>
    </w:p>
    <w:p w14:paraId="67A3D5AF" w14:textId="77777777" w:rsidR="00660716" w:rsidRDefault="00660716" w:rsidP="00660716">
      <w:pPr>
        <w:numPr>
          <w:ilvl w:val="0"/>
          <w:numId w:val="48"/>
        </w:numPr>
        <w:tabs>
          <w:tab w:val="left" w:pos="426"/>
        </w:tabs>
        <w:suppressAutoHyphens/>
        <w:spacing w:after="0" w:line="240" w:lineRule="auto"/>
        <w:ind w:left="-567" w:right="-427" w:firstLine="567"/>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lastRenderedPageBreak/>
        <w:t xml:space="preserve">Внесени протести срещу върнати от съда дела </w:t>
      </w:r>
      <w:r>
        <w:rPr>
          <w:rFonts w:ascii="Times New Roman" w:eastAsia="Times New Roman" w:hAnsi="Times New Roman" w:cs="Times New Roman"/>
          <w:sz w:val="28"/>
          <w:szCs w:val="28"/>
          <w:lang w:val="en-US" w:eastAsia="ar-SA"/>
        </w:rPr>
        <w:t>(</w:t>
      </w:r>
      <w:r>
        <w:rPr>
          <w:rFonts w:ascii="Times New Roman" w:eastAsia="Times New Roman" w:hAnsi="Times New Roman" w:cs="Times New Roman"/>
          <w:sz w:val="28"/>
          <w:szCs w:val="28"/>
          <w:lang w:eastAsia="ar-SA"/>
        </w:rPr>
        <w:t>чл. 249, ал. 3 вр. чл. 248, ал. 1, т. 3 от НПК</w:t>
      </w:r>
      <w:r>
        <w:rPr>
          <w:rFonts w:ascii="Times New Roman" w:eastAsia="Times New Roman" w:hAnsi="Times New Roman" w:cs="Times New Roman"/>
          <w:sz w:val="28"/>
          <w:szCs w:val="28"/>
          <w:lang w:val="en-US" w:eastAsia="ar-SA"/>
        </w:rPr>
        <w:t xml:space="preserve">) </w:t>
      </w:r>
      <w:r>
        <w:rPr>
          <w:rFonts w:ascii="Times New Roman" w:eastAsia="Times New Roman" w:hAnsi="Times New Roman" w:cs="Times New Roman"/>
          <w:sz w:val="28"/>
          <w:szCs w:val="28"/>
          <w:lang w:eastAsia="ar-SA"/>
        </w:rPr>
        <w:t>- 9. Разгледани от съда през 2025 г. са общо 11 такива протеста, като уважените са 6.</w:t>
      </w:r>
    </w:p>
    <w:p w14:paraId="13497F35" w14:textId="77777777" w:rsidR="00660716" w:rsidRDefault="00660716" w:rsidP="00660716">
      <w:pPr>
        <w:numPr>
          <w:ilvl w:val="0"/>
          <w:numId w:val="48"/>
        </w:numPr>
        <w:tabs>
          <w:tab w:val="left" w:pos="426"/>
        </w:tabs>
        <w:suppressAutoHyphens/>
        <w:spacing w:after="0" w:line="240" w:lineRule="auto"/>
        <w:ind w:left="-567" w:right="-427" w:firstLine="567"/>
        <w:contextualSpacing/>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Внесени протести срещу върнати от съда дела по внесени предложения по чл. 78а НК- 4, от които са разгледани 2- неуважени.</w:t>
      </w:r>
    </w:p>
    <w:p w14:paraId="05A1C590"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Основни причини за връщане на делата от съда са допуснати на досъдебното производство </w:t>
      </w:r>
      <w:proofErr w:type="spellStart"/>
      <w:r>
        <w:rPr>
          <w:rFonts w:ascii="Times New Roman" w:eastAsia="Times New Roman" w:hAnsi="Times New Roman" w:cs="Times New Roman"/>
          <w:sz w:val="28"/>
          <w:szCs w:val="28"/>
          <w:lang w:eastAsia="ar-SA"/>
        </w:rPr>
        <w:t>отстраними</w:t>
      </w:r>
      <w:proofErr w:type="spellEnd"/>
      <w:r>
        <w:rPr>
          <w:rFonts w:ascii="Times New Roman" w:eastAsia="Times New Roman" w:hAnsi="Times New Roman" w:cs="Times New Roman"/>
          <w:sz w:val="28"/>
          <w:szCs w:val="28"/>
          <w:lang w:eastAsia="ar-SA"/>
        </w:rPr>
        <w:t xml:space="preserve"> съществени нарушения на процесуалните правила, довели до ограничаване правата на обвиняем и пострадал,</w:t>
      </w:r>
      <w:r>
        <w:rPr>
          <w:rFonts w:ascii="Times New Roman" w:eastAsia="Times New Roman" w:hAnsi="Times New Roman" w:cs="Times New Roman"/>
          <w:color w:val="000000"/>
          <w:sz w:val="28"/>
          <w:szCs w:val="28"/>
          <w:lang w:eastAsia="ar-SA"/>
        </w:rPr>
        <w:t xml:space="preserve"> както и неодобрени споразумения и констатирани от съда пропуски при изготвянето на обвинителния акт, които в голяма степен са очевидни и са могли да бъдат избегнати при прецизна работа на прокурора.</w:t>
      </w:r>
      <w:r>
        <w:rPr>
          <w:rFonts w:ascii="Times New Roman" w:eastAsia="Times New Roman" w:hAnsi="Times New Roman" w:cs="Times New Roman"/>
          <w:color w:val="000000"/>
          <w:sz w:val="28"/>
          <w:szCs w:val="28"/>
        </w:rPr>
        <w:t xml:space="preserve"> </w:t>
      </w:r>
    </w:p>
    <w:p w14:paraId="2A24C65C"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За подобряване на дейността по този показател, следва да се повишат изискванията и контрола от страна на наблюдаващите прокурори при провеждане на разследването, при което и допусканите процесуални нарушения да се отстраняват в оперативен порядък. Акцентът и усилията следва да бъдат насочени и към повишаване качеството на работа на наблюдаващия прокурор, както на досъдебното производство, така и при изготвяне на прокурорските актове, внасяни в съда. </w:t>
      </w:r>
    </w:p>
    <w:p w14:paraId="5FDA6EDE" w14:textId="77777777" w:rsidR="00660716" w:rsidRDefault="00660716" w:rsidP="00660716">
      <w:pPr>
        <w:shd w:val="clear" w:color="auto" w:fill="FFFFFF"/>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Като позитивен извод следва да се посочи, че през 2025 г. от общо върнатите 21 дела,</w:t>
      </w:r>
      <w:r>
        <w:rPr>
          <w:rFonts w:ascii="Times New Roman" w:eastAsia="Times New Roman" w:hAnsi="Times New Roman" w:cs="Times New Roman"/>
          <w:bCs/>
          <w:sz w:val="28"/>
          <w:szCs w:val="28"/>
        </w:rPr>
        <w:t xml:space="preserve"> </w:t>
      </w:r>
      <w:r>
        <w:rPr>
          <w:rFonts w:ascii="Times New Roman" w:eastAsia="Times New Roman" w:hAnsi="Times New Roman" w:cs="Times New Roman"/>
          <w:sz w:val="28"/>
          <w:szCs w:val="28"/>
          <w:lang w:eastAsia="ar-SA"/>
        </w:rPr>
        <w:t>отново са внесени в съд 16, което е 76,2 % .</w:t>
      </w:r>
    </w:p>
    <w:p w14:paraId="59DC245F" w14:textId="77777777" w:rsidR="00660716" w:rsidRDefault="00660716" w:rsidP="00660716">
      <w:pPr>
        <w:shd w:val="clear" w:color="auto" w:fill="FFFFFF"/>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ar-SA"/>
        </w:rPr>
        <w:t xml:space="preserve"> </w:t>
      </w:r>
    </w:p>
    <w:p w14:paraId="6D6C35AA"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lang w:eastAsia="ar-SA"/>
        </w:rPr>
      </w:pPr>
      <w:r>
        <w:rPr>
          <w:rFonts w:ascii="Times New Roman" w:eastAsia="Times New Roman" w:hAnsi="Times New Roman" w:cs="Times New Roman"/>
          <w:color w:val="000000"/>
          <w:sz w:val="28"/>
          <w:szCs w:val="28"/>
          <w:lang w:eastAsia="ar-SA"/>
        </w:rPr>
        <w:t xml:space="preserve">Анализ на върнатите дела за доразследване от съда  на прокуратурата за 2025 г.- ПРИЛОЖЕНИЕ № 2 към доклада. </w:t>
      </w:r>
    </w:p>
    <w:p w14:paraId="6B539CD6"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rPr>
      </w:pPr>
    </w:p>
    <w:p w14:paraId="01B4B51B"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rPr>
      </w:pPr>
    </w:p>
    <w:p w14:paraId="0C948DED"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2.4. Протести.</w:t>
      </w:r>
    </w:p>
    <w:p w14:paraId="3A156AA8"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p>
    <w:p w14:paraId="62A98A48"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отчетната 2025 г. прокурорите от Пазарджишкия съдебен район са внесли 13 въззивни протести. Общо разгледаните от съда през 2025 г., в т. ч. и по внесени в предходен период въззивни протести- 15, от които само 3 са уважени.</w:t>
      </w:r>
    </w:p>
    <w:p w14:paraId="1D2AE638"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2025 г. не са подавани касационни протести, като е разгледан 1 касационен протест, внесен в предходен период- неуважен.</w:t>
      </w:r>
    </w:p>
    <w:p w14:paraId="11CEA1B4"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През 2024 г. са били внесени общо 20 въззивни протеста и 2 касационни протеста. Общият брой на разгледаните от съда, в т. ч. и по внесени в предходен период въззивни протести е бил 22, от които уважени- 10. Не е имало  разгледани касационни протести от съда, в т. ч. по внесени в предходен период касационни протести. </w:t>
      </w:r>
    </w:p>
    <w:p w14:paraId="3F1E2213"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През 2023 г. прокурорите от района са внесли 20 въззивни протеста, като не е имало внесени касационни протести. Общо разгледаните от съда, в т. ч. по внесени в предходен период въззивни протести е бил 18, от които 5- уважени. Разгледаният от съда касационен протест от предходен период  е бил  1- уважен.</w:t>
      </w:r>
    </w:p>
    <w:p w14:paraId="020E08C6"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Относителният дял на уважените през 2025 г. 3 протеста спрямо общо разгледаните от съда 16 протеста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15 въззивни и 1 касационен</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е  18,75%. </w:t>
      </w:r>
    </w:p>
    <w:p w14:paraId="6F734D8C"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Относителният дял на уважените през 2024 година 10 протеста  спрямо разгледаните от съда 22 протеста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въззивни</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е бил 45,5 %.</w:t>
      </w:r>
    </w:p>
    <w:p w14:paraId="3572E7DA"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Относителният дял на уважените през 2023 година 6 протест</w:t>
      </w:r>
      <w:bookmarkStart w:id="48" w:name="OLE_LINK9"/>
      <w:r>
        <w:rPr>
          <w:rFonts w:ascii="Times New Roman" w:eastAsia="Times New Roman" w:hAnsi="Times New Roman" w:cs="Times New Roman"/>
          <w:sz w:val="28"/>
          <w:szCs w:val="28"/>
        </w:rPr>
        <w:t xml:space="preserve">а </w:t>
      </w:r>
      <w:bookmarkEnd w:id="48"/>
      <w:r>
        <w:rPr>
          <w:rFonts w:ascii="Times New Roman" w:eastAsia="Times New Roman" w:hAnsi="Times New Roman" w:cs="Times New Roman"/>
          <w:sz w:val="28"/>
          <w:szCs w:val="28"/>
        </w:rPr>
        <w:t xml:space="preserve">спрямо разгледаните от съда 19 протеста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18 въззивни и 1 касационен</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е бил 31,58 %.</w:t>
      </w:r>
    </w:p>
    <w:p w14:paraId="143567A5"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rPr>
      </w:pPr>
    </w:p>
    <w:p w14:paraId="5FD5E96D"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Протестите срещу изцяло и частично оправдателни присъди и решения са 10 като от тях – 12 са общо разгледани от съда, в т. ч. по внесени в предходен период и 2 са уважени. Относителният дял на уважените протести, внесени срещу изцяло или частично оправдателни присъди, спрямо разгледаните от съда е 16,67 %.</w:t>
      </w:r>
    </w:p>
    <w:p w14:paraId="2C68D530"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rPr>
      </w:pPr>
      <w:bookmarkStart w:id="49" w:name="OLE_LINK58"/>
      <w:r>
        <w:rPr>
          <w:rFonts w:ascii="Times New Roman" w:eastAsia="Times New Roman" w:hAnsi="Times New Roman" w:cs="Times New Roman"/>
          <w:color w:val="000000" w:themeColor="text1"/>
          <w:sz w:val="28"/>
          <w:szCs w:val="28"/>
        </w:rPr>
        <w:t xml:space="preserve">Причините за </w:t>
      </w:r>
      <w:proofErr w:type="spellStart"/>
      <w:r>
        <w:rPr>
          <w:rFonts w:ascii="Times New Roman" w:eastAsia="Times New Roman" w:hAnsi="Times New Roman" w:cs="Times New Roman"/>
          <w:color w:val="000000" w:themeColor="text1"/>
          <w:sz w:val="28"/>
          <w:szCs w:val="28"/>
        </w:rPr>
        <w:t>неуважаване</w:t>
      </w:r>
      <w:proofErr w:type="spellEnd"/>
      <w:r>
        <w:rPr>
          <w:rFonts w:ascii="Times New Roman" w:eastAsia="Times New Roman" w:hAnsi="Times New Roman" w:cs="Times New Roman"/>
          <w:color w:val="000000" w:themeColor="text1"/>
          <w:sz w:val="28"/>
          <w:szCs w:val="28"/>
        </w:rPr>
        <w:t xml:space="preserve"> на протестите от съда са следните: различна оценка на доказателствата от съда и от прокуратурата, която води до различни правни изводи; недостатъчна обоснованост на протестите, подаване на „</w:t>
      </w:r>
      <w:proofErr w:type="spellStart"/>
      <w:r>
        <w:rPr>
          <w:rFonts w:ascii="Times New Roman" w:eastAsia="Times New Roman" w:hAnsi="Times New Roman" w:cs="Times New Roman"/>
          <w:color w:val="000000" w:themeColor="text1"/>
          <w:sz w:val="28"/>
          <w:szCs w:val="28"/>
        </w:rPr>
        <w:t>бланкетни</w:t>
      </w:r>
      <w:proofErr w:type="spellEnd"/>
      <w:r>
        <w:rPr>
          <w:rFonts w:ascii="Times New Roman" w:eastAsia="Times New Roman" w:hAnsi="Times New Roman" w:cs="Times New Roman"/>
          <w:color w:val="000000" w:themeColor="text1"/>
          <w:sz w:val="28"/>
          <w:szCs w:val="28"/>
        </w:rPr>
        <w:t>“ протести, без да се прави анализ на мотивите към атакувания съдебен акт.</w:t>
      </w:r>
    </w:p>
    <w:p w14:paraId="4CC75D11" w14:textId="77777777" w:rsidR="00660716" w:rsidRDefault="00660716" w:rsidP="00660716">
      <w:pPr>
        <w:spacing w:after="0" w:line="240" w:lineRule="auto"/>
        <w:ind w:left="-567" w:right="-42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Следва да се акцентира, че подаването на протест винаги следва да се предхожда от задълбочена и обективна преценка за наличието на процесуални основания за протестиране на съдебния акт, както и внимателното проучване на мотивите на съдебния акт и на доказателствата по делото.  Следва да се продължи утвърдената практика на анализ на причините, довели до постановяване на оправдателни присъди и </w:t>
      </w:r>
      <w:proofErr w:type="spellStart"/>
      <w:r>
        <w:rPr>
          <w:rFonts w:ascii="Times New Roman" w:eastAsia="Times New Roman" w:hAnsi="Times New Roman" w:cs="Times New Roman"/>
          <w:color w:val="000000" w:themeColor="text1"/>
          <w:sz w:val="28"/>
          <w:szCs w:val="28"/>
        </w:rPr>
        <w:t>неуважаване</w:t>
      </w:r>
      <w:proofErr w:type="spellEnd"/>
      <w:r>
        <w:rPr>
          <w:rFonts w:ascii="Times New Roman" w:eastAsia="Times New Roman" w:hAnsi="Times New Roman" w:cs="Times New Roman"/>
          <w:color w:val="000000" w:themeColor="text1"/>
          <w:sz w:val="28"/>
          <w:szCs w:val="28"/>
        </w:rPr>
        <w:t>/оставяне без разглеждане на протестите.</w:t>
      </w:r>
    </w:p>
    <w:bookmarkEnd w:id="49"/>
    <w:p w14:paraId="174A2BB9"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p>
    <w:p w14:paraId="137C03D1"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rPr>
      </w:pPr>
    </w:p>
    <w:p w14:paraId="17AB37D4"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i/>
          <w:sz w:val="28"/>
          <w:szCs w:val="28"/>
          <w:lang w:eastAsia="ar-SA"/>
        </w:rPr>
      </w:pPr>
      <w:r>
        <w:rPr>
          <w:rFonts w:ascii="Times New Roman" w:eastAsia="Times New Roman" w:hAnsi="Times New Roman" w:cs="Times New Roman"/>
          <w:i/>
          <w:sz w:val="28"/>
          <w:szCs w:val="28"/>
        </w:rPr>
        <w:t xml:space="preserve">2.5. </w:t>
      </w:r>
      <w:r>
        <w:rPr>
          <w:rFonts w:ascii="Times New Roman" w:eastAsia="Times New Roman" w:hAnsi="Times New Roman" w:cs="Times New Roman"/>
          <w:i/>
          <w:sz w:val="28"/>
          <w:szCs w:val="28"/>
          <w:lang w:eastAsia="ar-SA"/>
        </w:rPr>
        <w:t>Прекратени от съда дела.</w:t>
      </w:r>
    </w:p>
    <w:p w14:paraId="1E897DC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highlight w:val="yellow"/>
          <w:lang w:eastAsia="ar-SA"/>
        </w:rPr>
      </w:pPr>
    </w:p>
    <w:p w14:paraId="1BAA48BB"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През отчетната 2025 г. прекратените от съда дела са 2. През 2024 г. тези дела </w:t>
      </w:r>
      <w:r>
        <w:rPr>
          <w:rFonts w:ascii="Times New Roman" w:eastAsia="Times New Roman" w:hAnsi="Times New Roman" w:cs="Times New Roman"/>
          <w:color w:val="000000" w:themeColor="text1"/>
          <w:sz w:val="28"/>
          <w:szCs w:val="28"/>
          <w:lang w:eastAsia="ar-SA"/>
        </w:rPr>
        <w:t xml:space="preserve">са били 2, </w:t>
      </w:r>
      <w:r>
        <w:rPr>
          <w:rFonts w:ascii="Times New Roman" w:eastAsia="Times New Roman" w:hAnsi="Times New Roman" w:cs="Times New Roman"/>
          <w:sz w:val="28"/>
          <w:szCs w:val="28"/>
          <w:lang w:eastAsia="ar-SA"/>
        </w:rPr>
        <w:t>а през 2023 г.  1 дело е било прекратено от съда.</w:t>
      </w:r>
    </w:p>
    <w:p w14:paraId="6EB4EBD2"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p>
    <w:p w14:paraId="2DC7D8D7" w14:textId="77777777" w:rsidR="00660716" w:rsidRDefault="00660716" w:rsidP="00660716">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Анализът на прекратените дела от съда за 2025 г. се съдържа в ПРИЛОЖЕНИЕ № 3 към доклада. </w:t>
      </w:r>
    </w:p>
    <w:p w14:paraId="66D68C31"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color w:val="000000"/>
          <w:sz w:val="28"/>
          <w:szCs w:val="28"/>
        </w:rPr>
      </w:pPr>
    </w:p>
    <w:p w14:paraId="4FCD16B5"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3. Гражданско-съдебен надзор.</w:t>
      </w:r>
    </w:p>
    <w:p w14:paraId="09ECEE9B"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b/>
          <w:sz w:val="28"/>
          <w:szCs w:val="28"/>
        </w:rPr>
      </w:pPr>
    </w:p>
    <w:p w14:paraId="618A6368"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u w:val="single"/>
          <w:lang w:eastAsia="en-US"/>
        </w:rPr>
      </w:pPr>
      <w:r>
        <w:rPr>
          <w:rFonts w:ascii="Times New Roman" w:eastAsia="Calibri" w:hAnsi="Times New Roman" w:cs="Times New Roman"/>
          <w:sz w:val="28"/>
          <w:szCs w:val="28"/>
          <w:u w:val="single"/>
          <w:lang w:eastAsia="en-US"/>
        </w:rPr>
        <w:t>Състояние и организация на гражданско-съдебния надзор.</w:t>
      </w:r>
    </w:p>
    <w:p w14:paraId="15148857"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val="en-US" w:eastAsia="en-US"/>
        </w:rPr>
      </w:pPr>
      <w:r>
        <w:rPr>
          <w:rFonts w:ascii="Times New Roman" w:eastAsia="Calibri" w:hAnsi="Times New Roman" w:cs="Times New Roman"/>
          <w:sz w:val="28"/>
          <w:szCs w:val="28"/>
          <w:lang w:eastAsia="en-US"/>
        </w:rPr>
        <w:t>През 2025 г., дейността на прокурорите в Окръжна прокуратура Пазарджик и Районните прокуратури бе организирана в съответствие с Конституцията на РБългария, законите, указанията на ВКП на РБългария и АП Пловдив. За целта във всяка прокуратура имаше създадена организация, която се осъществяваше от определени прокурори по одобрен годишен план. Участието по граждански дела се осъществяваше по предварително изготвен график и чрез призоваване по делата от съда. Отделно всеки един от прокурорите е участвал в разглеждането на граждански дела.</w:t>
      </w:r>
    </w:p>
    <w:p w14:paraId="4FBF393C"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p>
    <w:p w14:paraId="7603A582"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Предявени искове от прокурор. Уважени и неуважени искове.</w:t>
      </w:r>
    </w:p>
    <w:p w14:paraId="04F16FF4"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b/>
          <w:sz w:val="28"/>
          <w:szCs w:val="28"/>
          <w:lang w:eastAsia="en-US"/>
        </w:rPr>
      </w:pPr>
    </w:p>
    <w:p w14:paraId="3D60A3B4"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През 2025 г., прокурорите от Окръжна прокуратура Пазарджик и региона са изготвили и предявили в равните им по степен съдилища общо 53 искови молби, при 24 за 2024 г., 38 за 2023 г. и  54 за 2022 г. По-голяма част от броя на исковите молби през годината</w:t>
      </w:r>
      <w:r>
        <w:rPr>
          <w:rFonts w:ascii="Times New Roman" w:eastAsia="Calibri" w:hAnsi="Times New Roman" w:cs="Times New Roman"/>
          <w:sz w:val="28"/>
          <w:szCs w:val="28"/>
          <w:lang w:val="en-US" w:eastAsia="en-US"/>
        </w:rPr>
        <w:t xml:space="preserve"> e</w:t>
      </w:r>
      <w:r>
        <w:rPr>
          <w:rFonts w:ascii="Times New Roman" w:eastAsia="Calibri" w:hAnsi="Times New Roman" w:cs="Times New Roman"/>
          <w:sz w:val="28"/>
          <w:szCs w:val="28"/>
          <w:lang w:eastAsia="en-US"/>
        </w:rPr>
        <w:t xml:space="preserve"> за прекратяване на търговски дружества.</w:t>
      </w:r>
    </w:p>
    <w:p w14:paraId="3F7515D8"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Цифрите сочат за тенденция към увеличен брой на исковите молби от предходните години. Внесените искове за прекратяване на търговски дружества са след сезиране от ТД НАП.</w:t>
      </w:r>
    </w:p>
    <w:p w14:paraId="09D3D710"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Разпределението на исковете през 2025 г. по вид дела и прокуратури е следното:</w:t>
      </w:r>
    </w:p>
    <w:p w14:paraId="1EEE4141"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 Окръжна прокуратура Пазарджик  - 53, от тях: 41 са по чл. 155, ал.1 т. 3 от ТЗ и 12 по чл. 336 от ГПК.</w:t>
      </w:r>
    </w:p>
    <w:p w14:paraId="354A162F"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От предявените искове на ОП Пазарджик 40 са разгледани и уважени, 1 е прекратен, останалите 12 броя чакат решение. Исковите молби са добре мотивирани и съобразени с изискванията на ГПК. </w:t>
      </w:r>
    </w:p>
    <w:p w14:paraId="7641CC0F"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От РП Пазарджик не са предявени искове. </w:t>
      </w:r>
    </w:p>
    <w:p w14:paraId="553E4420"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p>
    <w:p w14:paraId="50C85006" w14:textId="77777777" w:rsidR="00F00EAE" w:rsidRDefault="00F00EAE" w:rsidP="00F00EAE">
      <w:pPr>
        <w:tabs>
          <w:tab w:val="left" w:pos="426"/>
        </w:tabs>
        <w:spacing w:after="0" w:line="240" w:lineRule="auto"/>
        <w:ind w:left="-567" w:right="-427" w:firstLine="567"/>
        <w:jc w:val="both"/>
        <w:rPr>
          <w:rFonts w:ascii="Times New Roman" w:eastAsia="Times New Roman" w:hAnsi="Times New Roman" w:cs="Times New Roman"/>
          <w:sz w:val="28"/>
          <w:szCs w:val="28"/>
        </w:rPr>
      </w:pPr>
      <w:r>
        <w:rPr>
          <w:rFonts w:ascii="Times New Roman" w:eastAsia="Calibri" w:hAnsi="Times New Roman" w:cs="Times New Roman"/>
          <w:sz w:val="28"/>
          <w:szCs w:val="28"/>
          <w:u w:val="single"/>
          <w:lang w:eastAsia="en-US"/>
        </w:rPr>
        <w:t>Участие в първоинстанционни граждански дела.</w:t>
      </w:r>
    </w:p>
    <w:p w14:paraId="2FB2CC33"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През 2025 г. прокурорите в Окръжна прокуратура Пазарджик и РП Пазарджик са участвали по закон в разглеждането общо на 225 първоинстанционни граждански дела.</w:t>
      </w:r>
    </w:p>
    <w:p w14:paraId="79508815"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От тях -  106 са за Окръжна прокуратура Пазарджик и 119 за Районна прокуратура Пазарджик с териториалните отделения по места.</w:t>
      </w:r>
    </w:p>
    <w:p w14:paraId="21817961"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Преобладаващо делата са по чл. 155 ал. 1 т.3 ТЗ, чл.19 от ЗГР, по чл. 26 по Закона  за закрила на детето, по чл. 547 във връзка с чл. 542 от ГКП, по чл. 6, чл. 87, чл. 126 ал. 2, чл. 72, чл. 132, чл. 101 и 102 от СК, по чл. 336 от ГПК, по чл. 2 от ЗОДОВ и др.</w:t>
      </w:r>
    </w:p>
    <w:p w14:paraId="7F1A3981"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От общия брой 225 първоинстанционни граждански дела, в които е участвал прокурор, решените през 2025 г. са 207. По всички решени граждански дела прокурорите са дали аргументирани становища и са участвали активно при събиране на доказателствата. </w:t>
      </w:r>
    </w:p>
    <w:p w14:paraId="2C1CFDB4"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Посочените данни за общия брой 225 първоинстанционни граждански дела, в които е участвал прокурор през отчетната 2025 г. говори за намаление, спрямо делата през 2024 г. – 330. През 2023 г. са  194, през 2022 г. – 251.</w:t>
      </w:r>
    </w:p>
    <w:p w14:paraId="6F3DB555"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Съдебните заседания, в които са разгледани и решени първоинстанционните граждански дела с участие на прокурори през годината са 305, от които за ОП Пазарджик – 167 и за РП Пазарджик – 138. В сравнение с предходните години те са за 2024 г. – 349, за 2023 г. – 242, за 2022 г. – 347.</w:t>
      </w:r>
    </w:p>
    <w:p w14:paraId="2D628101"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През 2025 г. няма участие на прокурори в граждански дела по преценка.</w:t>
      </w:r>
    </w:p>
    <w:p w14:paraId="36FBD868"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p>
    <w:p w14:paraId="76A9EDD6"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u w:val="single"/>
          <w:lang w:eastAsia="en-US"/>
        </w:rPr>
      </w:pPr>
      <w:r>
        <w:rPr>
          <w:rFonts w:ascii="Times New Roman" w:eastAsia="Calibri" w:hAnsi="Times New Roman" w:cs="Times New Roman"/>
          <w:sz w:val="28"/>
          <w:szCs w:val="28"/>
          <w:u w:val="single"/>
          <w:lang w:eastAsia="en-US"/>
        </w:rPr>
        <w:t>Участие във въззивни дела.</w:t>
      </w:r>
    </w:p>
    <w:p w14:paraId="701625B2"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2025 г. прокурорите са участвали общо в 16 въззивни граждански дела в 16 съдебни заседания. От тях 11 дела са били по чл.2 от ЗОДОВ. Те включват 10 срещу Прокуратурата на РБългария и 1 срещу ОС – Благоевград. Останалите дела са 5 бр. От тях 4 бр. по чл.19 от ЗГР и 1 бр. по ЗЗД. </w:t>
      </w:r>
    </w:p>
    <w:p w14:paraId="1CB120B7"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Участието на прокурорите по тези дела е активно. Защитавали са интересите на държавата и на Прокуратурата на РБългария. Становищата им са подробни и добре мотивирани.</w:t>
      </w:r>
    </w:p>
    <w:p w14:paraId="5240DA7B"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2025 г. броят на въззивните граждански дела е по-голям от тези през 2024 – 13 бр., през 2023 г. – 8 бр., през 2022 г. - 15 бр. </w:t>
      </w:r>
    </w:p>
    <w:p w14:paraId="1D0A7DE6"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p>
    <w:p w14:paraId="368C9288"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u w:val="single"/>
          <w:lang w:eastAsia="en-US"/>
        </w:rPr>
      </w:pPr>
      <w:r>
        <w:rPr>
          <w:rFonts w:ascii="Times New Roman" w:eastAsia="Calibri" w:hAnsi="Times New Roman" w:cs="Times New Roman"/>
          <w:sz w:val="28"/>
          <w:szCs w:val="28"/>
          <w:u w:val="single"/>
          <w:lang w:eastAsia="en-US"/>
        </w:rPr>
        <w:lastRenderedPageBreak/>
        <w:t>Дейност по ЗОПДНПИ.</w:t>
      </w:r>
    </w:p>
    <w:p w14:paraId="49DE4B2A"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През 20</w:t>
      </w:r>
      <w:r>
        <w:rPr>
          <w:rFonts w:ascii="Times New Roman" w:eastAsia="Calibri" w:hAnsi="Times New Roman" w:cs="Times New Roman"/>
          <w:sz w:val="28"/>
          <w:szCs w:val="28"/>
          <w:lang w:val="en-US" w:eastAsia="en-US"/>
        </w:rPr>
        <w:t>2</w:t>
      </w:r>
      <w:r>
        <w:rPr>
          <w:rFonts w:ascii="Times New Roman" w:eastAsia="Calibri" w:hAnsi="Times New Roman" w:cs="Times New Roman"/>
          <w:sz w:val="28"/>
          <w:szCs w:val="28"/>
          <w:lang w:eastAsia="en-US"/>
        </w:rPr>
        <w:t>5 г. от Окръжна прокуратура Пазарджик и РП Пазарджик са изпратени общо 95 уведомления до КОНПИ и до КПК, по които няма обратна информация как са решени.</w:t>
      </w:r>
    </w:p>
    <w:p w14:paraId="6FF66957"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Преписките с копията на уведомленията се съхраняват в отделни папки в деловодството на Окръжна прокуратура Пазарджик и Районна прокуратура Пазарджик. Уведомленията се отразяват в отделен регистър. През предходната 2024 г. те са 38, през 2023 г. – 42 бр., през 2022 г. - 24 бр.</w:t>
      </w:r>
    </w:p>
    <w:p w14:paraId="5B341BB3"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p>
    <w:p w14:paraId="79178DD9"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u w:val="single"/>
          <w:lang w:eastAsia="en-US"/>
        </w:rPr>
      </w:pPr>
      <w:r>
        <w:rPr>
          <w:rFonts w:ascii="Times New Roman" w:eastAsia="Calibri" w:hAnsi="Times New Roman" w:cs="Times New Roman"/>
          <w:sz w:val="28"/>
          <w:szCs w:val="28"/>
          <w:u w:val="single"/>
          <w:lang w:eastAsia="en-US"/>
        </w:rPr>
        <w:t>Участие в съдебни заседания по ЗОПДНПИ.</w:t>
      </w:r>
    </w:p>
    <w:p w14:paraId="17A9A649"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През 20</w:t>
      </w:r>
      <w:r>
        <w:rPr>
          <w:rFonts w:ascii="Times New Roman" w:eastAsia="Calibri" w:hAnsi="Times New Roman" w:cs="Times New Roman"/>
          <w:sz w:val="28"/>
          <w:szCs w:val="28"/>
          <w:lang w:val="en-US" w:eastAsia="en-US"/>
        </w:rPr>
        <w:t>2</w:t>
      </w:r>
      <w:r>
        <w:rPr>
          <w:rFonts w:ascii="Times New Roman" w:eastAsia="Calibri" w:hAnsi="Times New Roman" w:cs="Times New Roman"/>
          <w:sz w:val="28"/>
          <w:szCs w:val="28"/>
          <w:lang w:eastAsia="en-US"/>
        </w:rPr>
        <w:t>5 г. прокурорите от Окръжна прокуратура Пазарджик не са участвали в дела по ЗОПДНПИ.</w:t>
      </w:r>
    </w:p>
    <w:p w14:paraId="625CFA16"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 предходните 2024, 2023 г. и 2022 г. също не са участвали в такива дела.</w:t>
      </w:r>
    </w:p>
    <w:p w14:paraId="23F30758"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p>
    <w:p w14:paraId="3D6D7D48"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shd w:val="clear" w:color="auto" w:fill="FFFFFF"/>
          <w:lang w:eastAsia="en-US"/>
        </w:rPr>
      </w:pPr>
      <w:r>
        <w:rPr>
          <w:rFonts w:ascii="Times New Roman" w:eastAsia="Calibri" w:hAnsi="Times New Roman" w:cs="Times New Roman"/>
          <w:sz w:val="28"/>
          <w:szCs w:val="28"/>
          <w:u w:val="single"/>
          <w:shd w:val="clear" w:color="auto" w:fill="FFFFFF"/>
          <w:lang w:eastAsia="en-US"/>
        </w:rPr>
        <w:t>Дейност по прилагане на производството, предвидено в разпоредбите на чл.83а – 83е от ЗАНН</w:t>
      </w:r>
      <w:r>
        <w:rPr>
          <w:rFonts w:ascii="Times New Roman" w:eastAsia="Calibri" w:hAnsi="Times New Roman" w:cs="Times New Roman"/>
          <w:sz w:val="28"/>
          <w:szCs w:val="28"/>
          <w:shd w:val="clear" w:color="auto" w:fill="FFFFFF"/>
          <w:lang w:eastAsia="en-US"/>
        </w:rPr>
        <w:t xml:space="preserve"> за налагане от съда на имуществени санкции на юридическите лица, които са се обогатили или биха се обогатили от извършени престъпления.</w:t>
      </w:r>
    </w:p>
    <w:p w14:paraId="2C6C037B"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отчетната 2025 г. няма подадени предложения по чл. 83а – 83е от ЗАНН. През 2024 г. също няма. През 2023 г. са били подадени 7 броя. През 2022 г. – 1 бр. </w:t>
      </w:r>
    </w:p>
    <w:p w14:paraId="46CE54BC"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b/>
          <w:sz w:val="28"/>
          <w:szCs w:val="28"/>
          <w:shd w:val="clear" w:color="auto" w:fill="FFFFFF"/>
          <w:lang w:eastAsia="en-US"/>
        </w:rPr>
      </w:pPr>
      <w:r>
        <w:rPr>
          <w:rFonts w:ascii="Times New Roman" w:eastAsia="Calibri" w:hAnsi="Times New Roman" w:cs="Times New Roman"/>
          <w:sz w:val="28"/>
          <w:szCs w:val="28"/>
          <w:lang w:eastAsia="en-US"/>
        </w:rPr>
        <w:t>Откази през 2025 г. няма.</w:t>
      </w:r>
    </w:p>
    <w:p w14:paraId="74957BF9" w14:textId="77777777" w:rsidR="00F00EAE" w:rsidRDefault="00F00EAE" w:rsidP="00F00EAE">
      <w:pPr>
        <w:tabs>
          <w:tab w:val="left" w:pos="426"/>
        </w:tabs>
        <w:spacing w:after="0" w:line="240" w:lineRule="auto"/>
        <w:ind w:left="-567" w:right="-427" w:firstLine="567"/>
        <w:jc w:val="both"/>
        <w:rPr>
          <w:rFonts w:ascii="Times New Roman" w:eastAsia="Calibri" w:hAnsi="Times New Roman" w:cs="Times New Roman"/>
          <w:sz w:val="28"/>
          <w:szCs w:val="28"/>
          <w:lang w:eastAsia="en-US"/>
        </w:rPr>
      </w:pPr>
    </w:p>
    <w:p w14:paraId="25C1EAD5" w14:textId="77777777" w:rsidR="00F00EAE" w:rsidRDefault="00F00EAE" w:rsidP="00F00EAE">
      <w:pPr>
        <w:tabs>
          <w:tab w:val="left" w:pos="426"/>
        </w:tabs>
        <w:suppressAutoHyphens/>
        <w:spacing w:after="0" w:line="240" w:lineRule="auto"/>
        <w:ind w:left="-567" w:right="-427" w:firstLine="567"/>
        <w:jc w:val="both"/>
        <w:rPr>
          <w:rFonts w:ascii="Times New Roman" w:eastAsia="Calibri" w:hAnsi="Times New Roman" w:cs="Times New Roman"/>
          <w:sz w:val="28"/>
          <w:szCs w:val="28"/>
          <w:u w:val="single"/>
          <w:lang w:eastAsia="en-US"/>
        </w:rPr>
      </w:pPr>
      <w:r>
        <w:rPr>
          <w:rFonts w:ascii="Times New Roman" w:eastAsia="Calibri" w:hAnsi="Times New Roman" w:cs="Times New Roman"/>
          <w:sz w:val="28"/>
          <w:szCs w:val="28"/>
          <w:u w:val="single"/>
          <w:lang w:eastAsia="en-US"/>
        </w:rPr>
        <w:t>Протести (жалби) по граждански дела общо, уважени, неуважени.</w:t>
      </w:r>
    </w:p>
    <w:p w14:paraId="1B5AAC19" w14:textId="77777777" w:rsidR="00F00EAE" w:rsidRDefault="00F00EAE" w:rsidP="00F00EAE">
      <w:pPr>
        <w:tabs>
          <w:tab w:val="left" w:pos="426"/>
        </w:tabs>
        <w:suppressAutoHyphen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отчетната 2025 г. от Окръжна прокуратура Пазарджик и РП Пазарджик са подадени 14 жалби срещу решения и определения на съдилищата по първоинстанционни граждански дела. От тях 9 броя са на ОП гр. Пазарджик и 5 броя на РП гр. Пазарджик. Всичките тези жалби са въззивни и са насочени срещу 13 първоинстанционни решения, като по едно от решенията са подадени две жалби на ОП гр. Пазарджик – една въззивна и една насрещна. </w:t>
      </w:r>
    </w:p>
    <w:p w14:paraId="0088EFD6" w14:textId="77777777" w:rsidR="00F00EAE" w:rsidRDefault="00F00EAE" w:rsidP="00F00EAE">
      <w:pPr>
        <w:tabs>
          <w:tab w:val="left" w:pos="426"/>
        </w:tabs>
        <w:suppressAutoHyphen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Насочеността на въззивните жалби е срещу решения, с които е осъдена Прокуратурата на РБългария по чл.2 от ЗОДОВ. </w:t>
      </w:r>
    </w:p>
    <w:p w14:paraId="2065936D" w14:textId="77777777" w:rsidR="00F00EAE" w:rsidRDefault="00F00EAE" w:rsidP="00F00EAE">
      <w:pPr>
        <w:tabs>
          <w:tab w:val="left" w:pos="426"/>
        </w:tabs>
        <w:suppressAutoHyphen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Няма подадени касационни жалби от ОП Пазарджик до ВКС на РБългария срещу въззивни решения на ОС Пазарджик. </w:t>
      </w:r>
    </w:p>
    <w:p w14:paraId="73D5764A" w14:textId="77777777" w:rsidR="00F00EAE" w:rsidRDefault="00F00EAE" w:rsidP="00F00EAE">
      <w:pPr>
        <w:tabs>
          <w:tab w:val="left" w:pos="426"/>
        </w:tabs>
        <w:suppressAutoHyphen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Всички осъдителни решения на съдилищата срещу Прокуратурата на РБългария са атакувани от прокурорите с изключение на тези, които попадат в ограничението по чл. 280 ал. 3, т. 1 от ГПК за касационно обжалване пред ВКС на РБългария с цена на иска до 5 000 лв. или са дадени становища от ОП Пазарджик до ВКП на РБългария за неоснователност за обжалване. Прокурорите са се съобразявали с указанията на ВКП на РБългария. Жалбите са подробни и добре мотивирани.</w:t>
      </w:r>
    </w:p>
    <w:p w14:paraId="5F27FB57" w14:textId="77777777" w:rsidR="00F00EAE" w:rsidRDefault="00F00EAE" w:rsidP="00F00EAE">
      <w:pPr>
        <w:tabs>
          <w:tab w:val="left" w:pos="426"/>
        </w:tabs>
        <w:suppressAutoHyphen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2025 г. въззивните жалби 14 бр. са по-малко от тези през 2024 г. – 25 бр. През 2023 г. те са 9 бр., през  2022 г. – 18 бр. </w:t>
      </w:r>
    </w:p>
    <w:p w14:paraId="1BE223FB" w14:textId="77777777" w:rsidR="00F00EAE" w:rsidRDefault="00F00EAE" w:rsidP="00F00EAE">
      <w:pPr>
        <w:tabs>
          <w:tab w:val="left" w:pos="426"/>
        </w:tabs>
        <w:suppressAutoHyphens/>
        <w:spacing w:after="0" w:line="240" w:lineRule="auto"/>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Всички задачи по плана на Окръжна прокуратура Пазарджик, Апелативна прокуратура  Пловдив и ВКП на РБългария по отделни дела и справки по този надзор са изпълнени в срок.</w:t>
      </w:r>
    </w:p>
    <w:p w14:paraId="4D8B12D3" w14:textId="77777777" w:rsidR="00660716" w:rsidRDefault="00660716" w:rsidP="00660716">
      <w:pPr>
        <w:tabs>
          <w:tab w:val="left" w:pos="426"/>
        </w:tabs>
        <w:spacing w:after="0" w:line="240" w:lineRule="auto"/>
        <w:ind w:left="-567" w:right="-427" w:firstLine="567"/>
        <w:jc w:val="both"/>
        <w:rPr>
          <w:rFonts w:ascii="Times New Roman" w:eastAsia="Times New Roman" w:hAnsi="Times New Roman" w:cs="Times New Roman"/>
          <w:b/>
          <w:color w:val="000000"/>
          <w:sz w:val="28"/>
          <w:szCs w:val="28"/>
        </w:rPr>
      </w:pPr>
    </w:p>
    <w:p w14:paraId="6B5DFCCB" w14:textId="77777777" w:rsidR="00F00EAE" w:rsidRDefault="00F00EAE" w:rsidP="00F00EAE">
      <w:pPr>
        <w:pStyle w:val="11"/>
        <w:shd w:val="clear" w:color="auto" w:fill="auto"/>
        <w:tabs>
          <w:tab w:val="left" w:pos="426"/>
        </w:tabs>
        <w:spacing w:after="240"/>
        <w:ind w:left="-567" w:right="-427" w:firstLine="567"/>
        <w:jc w:val="both"/>
        <w:rPr>
          <w:rFonts w:ascii="Times New Roman" w:hAnsi="Times New Roman" w:cs="Times New Roman"/>
          <w:color w:val="000000" w:themeColor="text1"/>
        </w:rPr>
      </w:pPr>
      <w:bookmarkStart w:id="50" w:name="OLE_LINK4"/>
      <w:r>
        <w:rPr>
          <w:rFonts w:ascii="Times New Roman" w:hAnsi="Times New Roman" w:cs="Times New Roman"/>
          <w:b/>
          <w:bCs/>
          <w:color w:val="000000" w:themeColor="text1"/>
        </w:rPr>
        <w:lastRenderedPageBreak/>
        <w:t>5. Изпълнение на наказанията и другите принудителни мерки.</w:t>
      </w:r>
    </w:p>
    <w:p w14:paraId="0FB7F747" w14:textId="77777777" w:rsidR="00F00EAE" w:rsidRDefault="00F00EAE" w:rsidP="00F00EAE">
      <w:pPr>
        <w:pStyle w:val="a4"/>
        <w:tabs>
          <w:tab w:val="left" w:pos="426"/>
        </w:tabs>
        <w:ind w:left="-567" w:right="-427" w:firstLine="567"/>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5.1. Привеждане на присъдите в изпълнение. </w:t>
      </w:r>
    </w:p>
    <w:p w14:paraId="1F961844" w14:textId="77777777" w:rsidR="00F00EAE" w:rsidRDefault="00F00EAE" w:rsidP="00F00EAE">
      <w:pPr>
        <w:pStyle w:val="a4"/>
        <w:tabs>
          <w:tab w:val="left" w:pos="426"/>
        </w:tabs>
        <w:ind w:left="-567" w:right="-427" w:firstLine="567"/>
        <w:rPr>
          <w:rFonts w:ascii="Times New Roman" w:hAnsi="Times New Roman" w:cs="Times New Roman"/>
          <w:i/>
          <w:sz w:val="28"/>
          <w:szCs w:val="28"/>
        </w:rPr>
      </w:pPr>
    </w:p>
    <w:p w14:paraId="5C2DA864" w14:textId="77777777" w:rsidR="00F00EAE" w:rsidRDefault="00F00EAE" w:rsidP="00F00EAE">
      <w:pPr>
        <w:pStyle w:val="a4"/>
        <w:ind w:left="-567" w:right="-427" w:firstLine="567"/>
        <w:jc w:val="both"/>
        <w:rPr>
          <w:rFonts w:ascii="Times New Roman" w:hAnsi="Times New Roman" w:cs="Times New Roman"/>
          <w:color w:val="FF0000"/>
          <w:sz w:val="28"/>
          <w:szCs w:val="28"/>
          <w:lang w:val="en-US"/>
        </w:rPr>
      </w:pPr>
      <w:r>
        <w:rPr>
          <w:rFonts w:ascii="Times New Roman" w:hAnsi="Times New Roman" w:cs="Times New Roman"/>
          <w:sz w:val="28"/>
          <w:szCs w:val="28"/>
        </w:rPr>
        <w:t>През отчетната 202</w:t>
      </w:r>
      <w:r>
        <w:rPr>
          <w:rFonts w:ascii="Times New Roman" w:hAnsi="Times New Roman" w:cs="Times New Roman"/>
          <w:sz w:val="28"/>
          <w:szCs w:val="28"/>
          <w:lang w:val="en-US"/>
        </w:rPr>
        <w:t>5</w:t>
      </w:r>
      <w:r>
        <w:rPr>
          <w:rFonts w:ascii="Times New Roman" w:hAnsi="Times New Roman" w:cs="Times New Roman"/>
          <w:sz w:val="28"/>
          <w:szCs w:val="28"/>
        </w:rPr>
        <w:t xml:space="preserve"> г. общият брой на получените за изпълнение присъди за района на Окръжна прокуратура Пазарджик е </w:t>
      </w:r>
      <w:r>
        <w:rPr>
          <w:rFonts w:ascii="Times New Roman" w:hAnsi="Times New Roman" w:cs="Times New Roman"/>
          <w:sz w:val="28"/>
          <w:szCs w:val="28"/>
          <w:lang w:val="en-US"/>
        </w:rPr>
        <w:t>354</w:t>
      </w:r>
      <w:r>
        <w:rPr>
          <w:rFonts w:ascii="Times New Roman" w:hAnsi="Times New Roman" w:cs="Times New Roman"/>
          <w:sz w:val="28"/>
          <w:szCs w:val="28"/>
        </w:rPr>
        <w:t xml:space="preserve">. За сравнение с предходните две години: през 2024 г. общият брой на получените за изпълнение присъди за района на Окръжна прокуратура Пазарджик е 465, а през 2023 г. - 426. </w:t>
      </w:r>
      <w:r>
        <w:rPr>
          <w:rFonts w:ascii="Times New Roman" w:hAnsi="Times New Roman" w:cs="Times New Roman"/>
          <w:color w:val="FF0000"/>
          <w:sz w:val="28"/>
          <w:szCs w:val="28"/>
        </w:rPr>
        <w:t xml:space="preserve"> </w:t>
      </w:r>
    </w:p>
    <w:p w14:paraId="5EA1ED4D" w14:textId="77777777" w:rsidR="00F00EAE" w:rsidRDefault="00F00EAE" w:rsidP="00F00EAE">
      <w:pPr>
        <w:pStyle w:val="11"/>
        <w:shd w:val="clear" w:color="auto" w:fill="auto"/>
        <w:tabs>
          <w:tab w:val="left" w:pos="426"/>
        </w:tabs>
        <w:ind w:left="-567" w:right="-427" w:firstLine="567"/>
        <w:jc w:val="both"/>
        <w:rPr>
          <w:rFonts w:ascii="Times New Roman" w:hAnsi="Times New Roman" w:cs="Times New Roman"/>
        </w:rPr>
      </w:pPr>
      <w:r>
        <w:rPr>
          <w:rFonts w:ascii="Times New Roman" w:hAnsi="Times New Roman" w:cs="Times New Roman"/>
        </w:rPr>
        <w:t xml:space="preserve">През отчетната година получените за изпълнение присъди са с 24 % по-малко в сравнение с 2024 г. и със 17 % по-малко в сравнение с получените за изпълнение присъди през 2023 г. </w:t>
      </w:r>
    </w:p>
    <w:p w14:paraId="05198F2C"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Продължава установената практика за бързина при привеждане в изпълнение на получените съдебни актове, всички са в срок до 5 дни.</w:t>
      </w:r>
    </w:p>
    <w:p w14:paraId="4096498D"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От получените присъди през отчетния период реално изпълнени от страна на прокурора са 359, при 466 присъди за 2024 г., при 431 присъди за 2023 г. </w:t>
      </w:r>
    </w:p>
    <w:p w14:paraId="60907366"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отчетния период, реално приведените в изпълнение присъди – по лица (получени потвърждения за начало на изпълнение на наказанието) са 342, при 453 за 2024 г., при 405 за 2023 г. </w:t>
      </w:r>
    </w:p>
    <w:p w14:paraId="20A7ED58" w14:textId="77777777" w:rsidR="00F00EAE" w:rsidRDefault="00F00EAE" w:rsidP="00F00EAE">
      <w:pPr>
        <w:pStyle w:val="a4"/>
        <w:tabs>
          <w:tab w:val="left" w:pos="426"/>
        </w:tabs>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За отчетния период, по прокуратури, разпределението на получените и подлежащите на реално изпълнение осъдителни присъди е, както следва:</w:t>
      </w:r>
    </w:p>
    <w:p w14:paraId="654901EA" w14:textId="77777777" w:rsidR="00F00EAE" w:rsidRDefault="00F00EAE" w:rsidP="00F00EAE">
      <w:pPr>
        <w:pStyle w:val="a4"/>
        <w:tabs>
          <w:tab w:val="left" w:pos="426"/>
        </w:tabs>
        <w:ind w:left="-567" w:right="-427" w:firstLine="567"/>
        <w:jc w:val="both"/>
        <w:rPr>
          <w:rFonts w:ascii="Times New Roman" w:eastAsia="Calibri" w:hAnsi="Times New Roman" w:cs="Times New Roman"/>
          <w:color w:val="FF0000"/>
          <w:sz w:val="28"/>
          <w:szCs w:val="28"/>
          <w:lang w:eastAsia="en-US"/>
        </w:rPr>
      </w:pPr>
      <w:r>
        <w:rPr>
          <w:rFonts w:ascii="Times New Roman" w:eastAsia="Calibri" w:hAnsi="Times New Roman" w:cs="Times New Roman"/>
          <w:sz w:val="28"/>
          <w:szCs w:val="28"/>
          <w:u w:val="single"/>
          <w:lang w:eastAsia="en-US"/>
        </w:rPr>
        <w:t>Окръжна прокуратура Пазарджик</w:t>
      </w:r>
      <w:r>
        <w:rPr>
          <w:rFonts w:ascii="Times New Roman" w:eastAsia="Calibri" w:hAnsi="Times New Roman" w:cs="Times New Roman"/>
          <w:sz w:val="28"/>
          <w:szCs w:val="28"/>
          <w:lang w:eastAsia="en-US"/>
        </w:rPr>
        <w:t xml:space="preserve"> – 30 присъди и споразумения, при 52 присъди и споразумения за 2024 г., при 45 присъди и споразумения за 2023 г., като се отчита намаление със 42 % по този показател спрямо 2024 г. и с 33 % спрямо 2023 г.</w:t>
      </w:r>
    </w:p>
    <w:p w14:paraId="3CDB49A5" w14:textId="77777777" w:rsidR="00F00EAE" w:rsidRDefault="00F00EAE" w:rsidP="00F00EAE">
      <w:pPr>
        <w:pStyle w:val="a4"/>
        <w:tabs>
          <w:tab w:val="left" w:pos="426"/>
        </w:tabs>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През отчетната 2025 г. с тях са били наложени следните наказания /по лица/: 16 наказания „лишаване от свобода“; 10 наказания „лишаване от права“ по чл.37 ал.1 т. 6 -10; 7 наказания „пробация“, при 35 наказания „лишаване от свобода“; 11 наказания „лишаване от права“ по чл.37 ал.1 т. 6 -10; 9 наказания „пробация“ за 2024 г. и при 34 наказания „лишаване от свобода“; 6 наказания „лишаване от права“ по чл.37 ал.1 т. 6 -10; 6 наказания „пробация“ за 2023 г. </w:t>
      </w:r>
    </w:p>
    <w:p w14:paraId="43A51E66" w14:textId="77777777" w:rsidR="00F00EAE" w:rsidRDefault="00F00EAE" w:rsidP="00F00EAE">
      <w:pPr>
        <w:pStyle w:val="a4"/>
        <w:tabs>
          <w:tab w:val="left" w:pos="426"/>
        </w:tabs>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u w:val="single"/>
          <w:lang w:eastAsia="en-US"/>
        </w:rPr>
        <w:t>Районна прокуратура Пазарджик</w:t>
      </w:r>
      <w:r>
        <w:rPr>
          <w:rFonts w:ascii="Times New Roman" w:eastAsia="Calibri" w:hAnsi="Times New Roman" w:cs="Times New Roman"/>
          <w:sz w:val="28"/>
          <w:szCs w:val="28"/>
          <w:lang w:eastAsia="en-US"/>
        </w:rPr>
        <w:t xml:space="preserve"> – 324 присъди и споразумения, а през 2024 г.  413 присъди и споразумения, при 381 присъди и споразумения за 2023 г. </w:t>
      </w:r>
    </w:p>
    <w:p w14:paraId="308C18A1" w14:textId="77777777" w:rsidR="00F00EAE" w:rsidRDefault="00F00EAE" w:rsidP="00F00EAE">
      <w:pPr>
        <w:pStyle w:val="a4"/>
        <w:tabs>
          <w:tab w:val="left" w:pos="426"/>
        </w:tabs>
        <w:ind w:left="-567" w:right="-427" w:firstLine="567"/>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През отчетната 2025 г. с тях са били наложени следните наказания /по лица/: 89 наказания „лишаване от свобода“; 172 наказания „лишаване от права“ по чл.37 ал.1 т. 6 -10; 80 наказания „пробация“ и 8 наказания „обществено порицание“, за 2024 г. са 113 наказания „лишаване от свобода“; 202 наказания „лишаване от права“ по чл.37 ал.1 т. 6 -10, 100 наказания „пробация“ и 15 наказания „обществено порицание“. За 2023 г. - 115 наказания „лишаване от свобода“; 194 наказания „лишаване от права“ по чл.37 ал.1 т. 6 -10; 100 наказания „пробация“ и 15 наказания „обществено порицание“. </w:t>
      </w:r>
    </w:p>
    <w:p w14:paraId="0999AFB5"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eastAsia="Calibri" w:hAnsi="Times New Roman" w:cs="Times New Roman"/>
          <w:sz w:val="28"/>
          <w:szCs w:val="28"/>
          <w:lang w:eastAsia="en-US"/>
        </w:rPr>
        <w:t xml:space="preserve">През отчетния период /общо за района Пазарджик/ се наблюдава намаление на броя на </w:t>
      </w:r>
      <w:r>
        <w:rPr>
          <w:rFonts w:ascii="Times New Roman" w:hAnsi="Times New Roman" w:cs="Times New Roman"/>
          <w:sz w:val="28"/>
          <w:szCs w:val="28"/>
        </w:rPr>
        <w:t xml:space="preserve">получените и приведени в изпълнение присъди и споразумения, съпоставени с предходните две години </w:t>
      </w:r>
    </w:p>
    <w:p w14:paraId="67F676B6" w14:textId="77777777" w:rsidR="00F00EAE" w:rsidRDefault="00F00EAE" w:rsidP="00F00EAE">
      <w:pPr>
        <w:pStyle w:val="a4"/>
        <w:tabs>
          <w:tab w:val="left" w:pos="426"/>
        </w:tabs>
        <w:ind w:left="-567" w:right="-427" w:firstLine="567"/>
        <w:jc w:val="both"/>
        <w:rPr>
          <w:rFonts w:ascii="Times New Roman" w:eastAsia="Calibri" w:hAnsi="Times New Roman" w:cs="Times New Roman"/>
          <w:color w:val="000000" w:themeColor="text1"/>
          <w:sz w:val="28"/>
          <w:szCs w:val="28"/>
          <w:lang w:eastAsia="en-US"/>
        </w:rPr>
      </w:pPr>
      <w:r>
        <w:rPr>
          <w:rFonts w:ascii="Times New Roman" w:eastAsia="Calibri" w:hAnsi="Times New Roman" w:cs="Times New Roman"/>
          <w:color w:val="000000" w:themeColor="text1"/>
          <w:sz w:val="28"/>
          <w:szCs w:val="28"/>
          <w:lang w:eastAsia="en-US"/>
        </w:rPr>
        <w:t xml:space="preserve">Продължава успешното прилагане на процесуалните институти на Глава 27 от НПК и Глава 29 от НПК, които имат решаващо значение за бързото приключване </w:t>
      </w:r>
      <w:r>
        <w:rPr>
          <w:rFonts w:ascii="Times New Roman" w:eastAsia="Calibri" w:hAnsi="Times New Roman" w:cs="Times New Roman"/>
          <w:color w:val="000000" w:themeColor="text1"/>
          <w:sz w:val="28"/>
          <w:szCs w:val="28"/>
          <w:lang w:eastAsia="en-US"/>
        </w:rPr>
        <w:lastRenderedPageBreak/>
        <w:t xml:space="preserve">на досъдебните производства, респ. отчитане и на общия брой на </w:t>
      </w:r>
      <w:proofErr w:type="spellStart"/>
      <w:r>
        <w:rPr>
          <w:rFonts w:ascii="Times New Roman" w:eastAsia="Calibri" w:hAnsi="Times New Roman" w:cs="Times New Roman"/>
          <w:color w:val="000000" w:themeColor="text1"/>
          <w:sz w:val="28"/>
          <w:szCs w:val="28"/>
          <w:lang w:eastAsia="en-US"/>
        </w:rPr>
        <w:t>присъдните</w:t>
      </w:r>
      <w:proofErr w:type="spellEnd"/>
      <w:r>
        <w:rPr>
          <w:rFonts w:ascii="Times New Roman" w:eastAsia="Calibri" w:hAnsi="Times New Roman" w:cs="Times New Roman"/>
          <w:color w:val="000000" w:themeColor="text1"/>
          <w:sz w:val="28"/>
          <w:szCs w:val="28"/>
          <w:lang w:eastAsia="en-US"/>
        </w:rPr>
        <w:t xml:space="preserve"> преписки. </w:t>
      </w:r>
    </w:p>
    <w:p w14:paraId="75351AA7" w14:textId="77777777" w:rsidR="00F00EAE" w:rsidRDefault="00F00EAE" w:rsidP="00F00EAE">
      <w:pPr>
        <w:pStyle w:val="a4"/>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С получените за изпълнение от прокурора присъди, през 2025 г. в Пазарджишки съдебен район, са били наложени следните наказания по видове:</w:t>
      </w:r>
    </w:p>
    <w:p w14:paraId="114C6026" w14:textId="77777777" w:rsidR="00F00EAE" w:rsidRDefault="00F00EAE" w:rsidP="00F00EAE">
      <w:pPr>
        <w:pStyle w:val="a4"/>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b/>
          <w:bCs/>
          <w:color w:val="000000" w:themeColor="text1"/>
          <w:sz w:val="28"/>
          <w:szCs w:val="28"/>
          <w:lang w:eastAsia="en-US"/>
        </w:rPr>
        <w:t>„ЛИШАВАНЕ ОТ СВОБОДА</w:t>
      </w:r>
      <w:r>
        <w:rPr>
          <w:rFonts w:ascii="Times New Roman" w:eastAsia="Times New Roman" w:hAnsi="Times New Roman" w:cs="Times New Roman"/>
          <w:color w:val="000000" w:themeColor="text1"/>
          <w:sz w:val="28"/>
          <w:szCs w:val="28"/>
          <w:lang w:eastAsia="en-US"/>
        </w:rPr>
        <w:t xml:space="preserve">” /ефективно/ - 105, при 148 наказания за 2024 г., при 149 наказания за 2023 г., т.е. отчита се намаление на </w:t>
      </w:r>
      <w:proofErr w:type="spellStart"/>
      <w:r>
        <w:rPr>
          <w:rFonts w:ascii="Times New Roman" w:eastAsia="Times New Roman" w:hAnsi="Times New Roman" w:cs="Times New Roman"/>
          <w:color w:val="000000" w:themeColor="text1"/>
          <w:sz w:val="28"/>
          <w:szCs w:val="28"/>
          <w:lang w:eastAsia="en-US"/>
        </w:rPr>
        <w:t>показаля</w:t>
      </w:r>
      <w:proofErr w:type="spellEnd"/>
      <w:r>
        <w:rPr>
          <w:rFonts w:ascii="Times New Roman" w:eastAsia="Times New Roman" w:hAnsi="Times New Roman" w:cs="Times New Roman"/>
          <w:color w:val="000000" w:themeColor="text1"/>
          <w:sz w:val="28"/>
          <w:szCs w:val="28"/>
          <w:lang w:eastAsia="en-US"/>
        </w:rPr>
        <w:t xml:space="preserve"> с 29 % спрямо 2024 г., а спрямо 2023 г. намаление с 30 %.</w:t>
      </w:r>
    </w:p>
    <w:p w14:paraId="3A113F70" w14:textId="77777777" w:rsidR="00F00EAE" w:rsidRDefault="00F00EAE" w:rsidP="00F00EAE">
      <w:pPr>
        <w:pStyle w:val="a4"/>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b/>
          <w:bCs/>
          <w:color w:val="000000" w:themeColor="text1"/>
          <w:sz w:val="28"/>
          <w:szCs w:val="28"/>
          <w:lang w:eastAsia="en-US"/>
        </w:rPr>
        <w:t xml:space="preserve">„ПРОБАЦИЯ” </w:t>
      </w:r>
      <w:r>
        <w:rPr>
          <w:rFonts w:ascii="Times New Roman" w:eastAsia="Times New Roman" w:hAnsi="Times New Roman" w:cs="Times New Roman"/>
          <w:color w:val="000000" w:themeColor="text1"/>
          <w:sz w:val="28"/>
          <w:szCs w:val="28"/>
          <w:lang w:eastAsia="en-US"/>
        </w:rPr>
        <w:t>– 87, при 109 наказания за 2024 г., при 106 наказания за 2023 г., като се отчита намаление с 20% спрямо 2024 г. и спад с 18</w:t>
      </w:r>
      <w:r>
        <w:rPr>
          <w:rFonts w:ascii="Times New Roman" w:eastAsia="Times New Roman" w:hAnsi="Times New Roman" w:cs="Times New Roman"/>
          <w:bCs/>
          <w:color w:val="000000" w:themeColor="text1"/>
          <w:sz w:val="28"/>
          <w:szCs w:val="28"/>
          <w:lang w:eastAsia="en-US"/>
        </w:rPr>
        <w:t xml:space="preserve"> %</w:t>
      </w:r>
      <w:r>
        <w:rPr>
          <w:rFonts w:ascii="Times New Roman" w:eastAsia="Times New Roman" w:hAnsi="Times New Roman" w:cs="Times New Roman"/>
          <w:color w:val="000000" w:themeColor="text1"/>
          <w:sz w:val="28"/>
          <w:szCs w:val="28"/>
          <w:lang w:eastAsia="en-US"/>
        </w:rPr>
        <w:t>, спрямо 2023 г.</w:t>
      </w:r>
    </w:p>
    <w:p w14:paraId="42BB76EA" w14:textId="77777777" w:rsidR="00F00EAE" w:rsidRDefault="00F00EAE" w:rsidP="00F00EAE">
      <w:pPr>
        <w:pStyle w:val="a4"/>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b/>
          <w:bCs/>
          <w:color w:val="000000" w:themeColor="text1"/>
          <w:sz w:val="28"/>
          <w:szCs w:val="28"/>
          <w:lang w:eastAsia="en-US"/>
        </w:rPr>
        <w:t xml:space="preserve">„ЛИШАВАНЕ ОТ ПРАВА” по чл. 37 ал.1 т.6 - 10 от НК –  </w:t>
      </w:r>
      <w:r>
        <w:rPr>
          <w:rFonts w:ascii="Times New Roman" w:eastAsia="Times New Roman" w:hAnsi="Times New Roman" w:cs="Times New Roman"/>
          <w:bCs/>
          <w:color w:val="000000" w:themeColor="text1"/>
          <w:sz w:val="28"/>
          <w:szCs w:val="28"/>
          <w:lang w:eastAsia="en-US"/>
        </w:rPr>
        <w:t>182,</w:t>
      </w:r>
      <w:r>
        <w:rPr>
          <w:rFonts w:ascii="Times New Roman" w:eastAsia="Times New Roman" w:hAnsi="Times New Roman" w:cs="Times New Roman"/>
          <w:b/>
          <w:bCs/>
          <w:color w:val="000000" w:themeColor="text1"/>
          <w:sz w:val="28"/>
          <w:szCs w:val="28"/>
          <w:lang w:eastAsia="en-US"/>
        </w:rPr>
        <w:t xml:space="preserve"> </w:t>
      </w:r>
      <w:r>
        <w:rPr>
          <w:rFonts w:ascii="Times New Roman" w:eastAsia="Times New Roman" w:hAnsi="Times New Roman" w:cs="Times New Roman"/>
          <w:bCs/>
          <w:color w:val="000000" w:themeColor="text1"/>
          <w:sz w:val="28"/>
          <w:szCs w:val="28"/>
          <w:lang w:eastAsia="en-US"/>
        </w:rPr>
        <w:t>при 213 наказания за 2024 г.,</w:t>
      </w:r>
      <w:r>
        <w:rPr>
          <w:rFonts w:ascii="Times New Roman" w:eastAsia="Times New Roman" w:hAnsi="Times New Roman" w:cs="Times New Roman"/>
          <w:b/>
          <w:bCs/>
          <w:color w:val="000000" w:themeColor="text1"/>
          <w:sz w:val="28"/>
          <w:szCs w:val="28"/>
          <w:lang w:eastAsia="en-US"/>
        </w:rPr>
        <w:t xml:space="preserve"> </w:t>
      </w:r>
      <w:r>
        <w:rPr>
          <w:rFonts w:ascii="Times New Roman" w:eastAsia="Times New Roman" w:hAnsi="Times New Roman" w:cs="Times New Roman"/>
          <w:bCs/>
          <w:color w:val="000000" w:themeColor="text1"/>
          <w:sz w:val="28"/>
          <w:szCs w:val="28"/>
          <w:lang w:eastAsia="en-US"/>
        </w:rPr>
        <w:t>при 200 наказания за 2023 г.,</w:t>
      </w:r>
      <w:r>
        <w:rPr>
          <w:rFonts w:ascii="Times New Roman" w:eastAsia="Times New Roman" w:hAnsi="Times New Roman" w:cs="Times New Roman"/>
          <w:b/>
          <w:bCs/>
          <w:color w:val="000000" w:themeColor="text1"/>
          <w:sz w:val="28"/>
          <w:szCs w:val="28"/>
          <w:lang w:eastAsia="en-US"/>
        </w:rPr>
        <w:t xml:space="preserve"> </w:t>
      </w:r>
      <w:r>
        <w:rPr>
          <w:rFonts w:ascii="Times New Roman" w:eastAsia="Times New Roman" w:hAnsi="Times New Roman" w:cs="Times New Roman"/>
          <w:color w:val="000000" w:themeColor="text1"/>
          <w:sz w:val="28"/>
          <w:szCs w:val="28"/>
          <w:lang w:eastAsia="en-US"/>
        </w:rPr>
        <w:t>т.е. отчита се намаление с 15 % спрямо 2024 г. и с 9</w:t>
      </w:r>
      <w:r>
        <w:rPr>
          <w:rFonts w:ascii="Times New Roman" w:eastAsia="Times New Roman" w:hAnsi="Times New Roman" w:cs="Times New Roman"/>
          <w:bCs/>
          <w:color w:val="000000" w:themeColor="text1"/>
          <w:sz w:val="28"/>
          <w:szCs w:val="28"/>
          <w:lang w:eastAsia="en-US"/>
        </w:rPr>
        <w:t xml:space="preserve"> %</w:t>
      </w:r>
      <w:r>
        <w:rPr>
          <w:rFonts w:ascii="Times New Roman" w:eastAsia="Times New Roman" w:hAnsi="Times New Roman" w:cs="Times New Roman"/>
          <w:color w:val="000000" w:themeColor="text1"/>
          <w:sz w:val="28"/>
          <w:szCs w:val="28"/>
          <w:lang w:eastAsia="en-US"/>
        </w:rPr>
        <w:t xml:space="preserve">  спрямо 2023 г. </w:t>
      </w:r>
    </w:p>
    <w:p w14:paraId="2CCDD6EF" w14:textId="77777777" w:rsidR="00F00EAE" w:rsidRDefault="00F00EAE" w:rsidP="00F00EAE">
      <w:pPr>
        <w:pStyle w:val="a4"/>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b/>
          <w:bCs/>
          <w:color w:val="000000" w:themeColor="text1"/>
          <w:sz w:val="28"/>
          <w:szCs w:val="28"/>
          <w:lang w:eastAsia="en-US"/>
        </w:rPr>
        <w:t xml:space="preserve">„ОБЩЕСТВЕНО ПОРИЦАНИЕ” </w:t>
      </w:r>
      <w:r>
        <w:rPr>
          <w:rFonts w:ascii="Times New Roman" w:eastAsia="Times New Roman" w:hAnsi="Times New Roman" w:cs="Times New Roman"/>
          <w:color w:val="000000" w:themeColor="text1"/>
          <w:sz w:val="28"/>
          <w:szCs w:val="28"/>
          <w:lang w:eastAsia="en-US"/>
        </w:rPr>
        <w:t>– 8, при 15 наказания за 2024 г., при 15 наказания за 2023 г., т.е. отчита се спад в показателя с 47</w:t>
      </w:r>
      <w:r>
        <w:rPr>
          <w:rFonts w:ascii="Times New Roman" w:eastAsia="Times New Roman" w:hAnsi="Times New Roman" w:cs="Times New Roman"/>
          <w:bCs/>
          <w:color w:val="000000" w:themeColor="text1"/>
          <w:sz w:val="28"/>
          <w:szCs w:val="28"/>
          <w:lang w:eastAsia="en-US"/>
        </w:rPr>
        <w:t xml:space="preserve"> %</w:t>
      </w:r>
      <w:r>
        <w:rPr>
          <w:rFonts w:ascii="Times New Roman" w:eastAsia="Times New Roman" w:hAnsi="Times New Roman" w:cs="Times New Roman"/>
          <w:color w:val="000000" w:themeColor="text1"/>
          <w:sz w:val="28"/>
          <w:szCs w:val="28"/>
          <w:lang w:eastAsia="en-US"/>
        </w:rPr>
        <w:t xml:space="preserve"> спрямо предходните две години.</w:t>
      </w:r>
    </w:p>
    <w:p w14:paraId="6FBB6630" w14:textId="77777777" w:rsidR="00F00EAE" w:rsidRDefault="00F00EAE" w:rsidP="00F00EAE">
      <w:pPr>
        <w:pStyle w:val="a4"/>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sz w:val="28"/>
          <w:szCs w:val="28"/>
          <w:lang w:eastAsia="en-US"/>
        </w:rPr>
        <w:t xml:space="preserve">За поредна година, челно място заемат налаганите наказания </w:t>
      </w:r>
      <w:r>
        <w:rPr>
          <w:rFonts w:ascii="Times New Roman" w:eastAsia="Times New Roman" w:hAnsi="Times New Roman" w:cs="Times New Roman"/>
          <w:bCs/>
          <w:sz w:val="28"/>
          <w:szCs w:val="28"/>
          <w:lang w:eastAsia="en-US"/>
        </w:rPr>
        <w:t>„лишаване от права” по чл. 37 ал. 1 т. 6 - 10 от НК,</w:t>
      </w:r>
      <w:r>
        <w:rPr>
          <w:rFonts w:ascii="Times New Roman" w:eastAsia="Times New Roman" w:hAnsi="Times New Roman" w:cs="Times New Roman"/>
          <w:b/>
          <w:bCs/>
          <w:sz w:val="28"/>
          <w:szCs w:val="28"/>
          <w:lang w:eastAsia="en-US"/>
        </w:rPr>
        <w:t xml:space="preserve"> </w:t>
      </w:r>
      <w:r>
        <w:rPr>
          <w:rFonts w:ascii="Times New Roman" w:eastAsia="Times New Roman" w:hAnsi="Times New Roman" w:cs="Times New Roman"/>
          <w:bCs/>
          <w:sz w:val="28"/>
          <w:szCs w:val="28"/>
          <w:lang w:eastAsia="en-US"/>
        </w:rPr>
        <w:t>които</w:t>
      </w:r>
      <w:r>
        <w:rPr>
          <w:rFonts w:ascii="Times New Roman" w:eastAsia="Times New Roman" w:hAnsi="Times New Roman" w:cs="Times New Roman"/>
          <w:b/>
          <w:bCs/>
          <w:sz w:val="28"/>
          <w:szCs w:val="28"/>
          <w:lang w:eastAsia="en-US"/>
        </w:rPr>
        <w:t xml:space="preserve"> </w:t>
      </w:r>
      <w:r>
        <w:rPr>
          <w:rFonts w:ascii="Times New Roman" w:eastAsia="Times New Roman" w:hAnsi="Times New Roman" w:cs="Times New Roman"/>
          <w:sz w:val="28"/>
          <w:szCs w:val="28"/>
          <w:lang w:eastAsia="en-US"/>
        </w:rPr>
        <w:t xml:space="preserve">в по-голямата си част засягат лишаване от правото да се управлява моторно превозно средство по смисъла на чл.37 ал.1 т.7 от НК. Изключенията се отнасят до случаи, при които със съдебният акт е отнето правото да се упражнява определена професия или дейност - чл.37 ал.1 т.6 от НК. </w:t>
      </w:r>
    </w:p>
    <w:p w14:paraId="034C37B4" w14:textId="77777777" w:rsidR="00F00EAE" w:rsidRDefault="00F00EAE" w:rsidP="00F00EAE">
      <w:pPr>
        <w:pStyle w:val="a4"/>
        <w:tabs>
          <w:tab w:val="left" w:pos="426"/>
        </w:tabs>
        <w:ind w:left="-567" w:right="-427" w:firstLine="567"/>
        <w:jc w:val="both"/>
        <w:rPr>
          <w:rFonts w:ascii="Times New Roman" w:eastAsia="Times New Roman" w:hAnsi="Times New Roman" w:cs="Times New Roman"/>
          <w:color w:val="000000" w:themeColor="text1"/>
          <w:sz w:val="28"/>
          <w:szCs w:val="28"/>
          <w:lang w:eastAsia="en-US"/>
        </w:rPr>
      </w:pPr>
      <w:r>
        <w:rPr>
          <w:rFonts w:ascii="Times New Roman" w:eastAsia="Times New Roman" w:hAnsi="Times New Roman" w:cs="Times New Roman"/>
          <w:color w:val="000000" w:themeColor="text1"/>
          <w:sz w:val="28"/>
          <w:szCs w:val="28"/>
          <w:lang w:eastAsia="en-US"/>
        </w:rPr>
        <w:t>Що се касае до наказанието „</w:t>
      </w:r>
      <w:r>
        <w:rPr>
          <w:rFonts w:ascii="Times New Roman" w:eastAsia="Times New Roman" w:hAnsi="Times New Roman" w:cs="Times New Roman"/>
          <w:bCs/>
          <w:color w:val="000000" w:themeColor="text1"/>
          <w:sz w:val="28"/>
          <w:szCs w:val="28"/>
          <w:lang w:eastAsia="en-US"/>
        </w:rPr>
        <w:t>лишаване от свобода</w:t>
      </w:r>
      <w:r>
        <w:rPr>
          <w:rFonts w:ascii="Times New Roman" w:eastAsia="Times New Roman" w:hAnsi="Times New Roman" w:cs="Times New Roman"/>
          <w:color w:val="000000" w:themeColor="text1"/>
          <w:sz w:val="28"/>
          <w:szCs w:val="28"/>
          <w:lang w:eastAsia="en-US"/>
        </w:rPr>
        <w:t xml:space="preserve">”, следва да се отбележи, че въпреки намаляваното на показателя през тази отчетна година, делът на този вид наказание продължава да е сериозен. </w:t>
      </w:r>
    </w:p>
    <w:p w14:paraId="1E019609" w14:textId="77777777" w:rsidR="00F00EAE" w:rsidRDefault="00F00EAE" w:rsidP="00F00EAE">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 отчетния период се наблюдава намаляване в показателя на наложените наказания „</w:t>
      </w:r>
      <w:r>
        <w:rPr>
          <w:rFonts w:ascii="Times New Roman" w:eastAsia="Times New Roman" w:hAnsi="Times New Roman" w:cs="Times New Roman"/>
          <w:bCs/>
          <w:sz w:val="28"/>
          <w:szCs w:val="28"/>
          <w:lang w:eastAsia="en-US"/>
        </w:rPr>
        <w:t>пробация</w:t>
      </w:r>
      <w:r>
        <w:rPr>
          <w:rFonts w:ascii="Times New Roman" w:eastAsia="Times New Roman" w:hAnsi="Times New Roman" w:cs="Times New Roman"/>
          <w:sz w:val="28"/>
          <w:szCs w:val="28"/>
          <w:lang w:eastAsia="en-US"/>
        </w:rPr>
        <w:t>“, като не са констатирани затруднения при изпълнението им.</w:t>
      </w:r>
    </w:p>
    <w:p w14:paraId="3DE5A01A" w14:textId="77777777" w:rsidR="00F00EAE" w:rsidRDefault="00F00EAE" w:rsidP="00F00EAE">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Относно наложените наказания „</w:t>
      </w:r>
      <w:r>
        <w:rPr>
          <w:rFonts w:ascii="Times New Roman" w:eastAsia="Times New Roman" w:hAnsi="Times New Roman" w:cs="Times New Roman"/>
          <w:bCs/>
          <w:sz w:val="28"/>
          <w:szCs w:val="28"/>
          <w:lang w:eastAsia="en-US"/>
        </w:rPr>
        <w:t>обществено порицание</w:t>
      </w:r>
      <w:r>
        <w:rPr>
          <w:rFonts w:ascii="Times New Roman" w:eastAsia="Times New Roman" w:hAnsi="Times New Roman" w:cs="Times New Roman"/>
          <w:sz w:val="28"/>
          <w:szCs w:val="28"/>
          <w:lang w:eastAsia="en-US"/>
        </w:rPr>
        <w:t>“ също се наблюдава спад в броя им спрямо предходните две години.</w:t>
      </w:r>
    </w:p>
    <w:p w14:paraId="2D3BE535" w14:textId="77777777" w:rsidR="00F00EAE" w:rsidRDefault="00F00EAE" w:rsidP="00F00EAE">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През 2025 г., както и през </w:t>
      </w:r>
      <w:r>
        <w:rPr>
          <w:rFonts w:ascii="Times New Roman" w:eastAsia="Times New Roman" w:hAnsi="Times New Roman" w:cs="Times New Roman"/>
          <w:bCs/>
          <w:sz w:val="28"/>
          <w:szCs w:val="28"/>
          <w:lang w:eastAsia="en-US"/>
        </w:rPr>
        <w:t xml:space="preserve">2024 г. и 2023 г. </w:t>
      </w:r>
      <w:r>
        <w:rPr>
          <w:rFonts w:ascii="Times New Roman" w:eastAsia="Times New Roman" w:hAnsi="Times New Roman" w:cs="Times New Roman"/>
          <w:sz w:val="28"/>
          <w:szCs w:val="28"/>
          <w:lang w:eastAsia="en-US"/>
        </w:rPr>
        <w:t xml:space="preserve">правният институт на чл.415 от НПК - „Отлагане на изпълнението на наказанието” не е бил прилаган. </w:t>
      </w:r>
    </w:p>
    <w:p w14:paraId="6DD4DAF9" w14:textId="77777777" w:rsidR="00F00EAE" w:rsidRDefault="00F00EAE" w:rsidP="00F00EAE">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Стриктно продължава да се следи срочността по привеждане на наказанията в изпълнение. Получените за изпълнение присъди с ефективни наказания, се изпълняват (изпращат от прокурора на съответните органи) незабавно, като в повечето случаи това става още в деня на тяхното разпределение. Изключения се наблюдават само при сезиране на съда да извърши групиране на наказанието по получената присъда, с друго наказание, което вече е изтърпяно. Незабавно се изпращат и уведомления до съда за предприетите действия, от страна на прокуратурата, по реда на чл.416 ал.2 изр. 2 от НПК.</w:t>
      </w:r>
    </w:p>
    <w:p w14:paraId="19E16F8E" w14:textId="77777777" w:rsidR="00F00EAE" w:rsidRDefault="00F00EAE" w:rsidP="00F00EAE">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Присъдите, по които осъдените лица не са задържани или са с неустановено местонахождение са обект на особено внимание. Лицата се обявяват своевременно за общодържавно издирване, като регулярно се изискват справки за хода на издирвателните мероприятия.</w:t>
      </w:r>
    </w:p>
    <w:p w14:paraId="7881600B" w14:textId="77777777" w:rsidR="00F00EAE" w:rsidRDefault="00F00EAE" w:rsidP="00F00EAE">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Към края на 2025 г. няма случаи чакащ групиране на наказанията, за 2024 г. има 1 случай чакащ групиране на наказанията, за 2023 г. също не са били налице случаи чакащи групиране на наказанията по предложения на прокуратурите от района на Окръжна прокуратура Пазарджик.</w:t>
      </w:r>
    </w:p>
    <w:p w14:paraId="164E6E73" w14:textId="77777777" w:rsidR="00F00EAE" w:rsidRDefault="00F00EAE" w:rsidP="00F00EAE">
      <w:pPr>
        <w:pStyle w:val="a4"/>
        <w:tabs>
          <w:tab w:val="left" w:pos="426"/>
        </w:tabs>
        <w:ind w:left="-567" w:right="-427"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 xml:space="preserve"> За отчетния период не е констатирано незаконосъобразно превеждане на присъдите - всички придвижени от прокурора към съответния орган съдебни актове са носели отбелязване за влизането им в сила.</w:t>
      </w:r>
    </w:p>
    <w:p w14:paraId="59EFED58" w14:textId="77777777" w:rsidR="00F00EAE" w:rsidRDefault="00F00EAE" w:rsidP="00F00EAE">
      <w:pPr>
        <w:pStyle w:val="a4"/>
        <w:tabs>
          <w:tab w:val="left" w:pos="426"/>
        </w:tabs>
        <w:ind w:left="-567" w:right="-427" w:firstLine="567"/>
        <w:jc w:val="both"/>
        <w:rPr>
          <w:rFonts w:ascii="Times New Roman" w:eastAsia="Times New Roman" w:hAnsi="Times New Roman" w:cs="Times New Roman"/>
          <w:color w:val="FF0000"/>
          <w:sz w:val="28"/>
          <w:szCs w:val="28"/>
          <w:lang w:eastAsia="en-US"/>
        </w:rPr>
      </w:pPr>
      <w:r>
        <w:rPr>
          <w:rFonts w:ascii="Times New Roman" w:eastAsia="Times New Roman" w:hAnsi="Times New Roman" w:cs="Times New Roman"/>
          <w:sz w:val="28"/>
          <w:szCs w:val="28"/>
          <w:lang w:eastAsia="en-US"/>
        </w:rPr>
        <w:t xml:space="preserve">От изпратените за изпълнение от прокурора до съответния орган съдебни актове, реално е започнало изтърпяването на наказанията по 342 съдебни акта. За това са постъпили в прокуратурата писмени потвърждения от съответния орган /за начало на изпълнението на привеждане на присъдата/, който е бил натоварен с изпълнение на наказанието, като в тази бройка участват и присъдите с наказание „лишаване от свобода”, които са постъпили в </w:t>
      </w:r>
      <w:proofErr w:type="spellStart"/>
      <w:r>
        <w:rPr>
          <w:rFonts w:ascii="Times New Roman" w:eastAsia="Times New Roman" w:hAnsi="Times New Roman" w:cs="Times New Roman"/>
          <w:sz w:val="28"/>
          <w:szCs w:val="28"/>
          <w:lang w:eastAsia="en-US"/>
        </w:rPr>
        <w:t>пенитенциарното</w:t>
      </w:r>
      <w:proofErr w:type="spellEnd"/>
      <w:r>
        <w:rPr>
          <w:rFonts w:ascii="Times New Roman" w:eastAsia="Times New Roman" w:hAnsi="Times New Roman" w:cs="Times New Roman"/>
          <w:sz w:val="28"/>
          <w:szCs w:val="28"/>
          <w:lang w:eastAsia="en-US"/>
        </w:rPr>
        <w:t xml:space="preserve"> заведение, но не са били приведени в изпълнение поради това, че осъденото лице търпи друга присъда.</w:t>
      </w:r>
    </w:p>
    <w:p w14:paraId="64713251" w14:textId="77777777" w:rsidR="00F00EAE" w:rsidRDefault="00F00EAE" w:rsidP="00F00EAE">
      <w:pPr>
        <w:pStyle w:val="a4"/>
        <w:tabs>
          <w:tab w:val="left" w:pos="426"/>
        </w:tabs>
        <w:ind w:left="-567" w:right="-427" w:firstLine="567"/>
        <w:jc w:val="both"/>
        <w:rPr>
          <w:rFonts w:ascii="Times New Roman" w:hAnsi="Times New Roman" w:cs="Times New Roman"/>
          <w:bCs/>
          <w:color w:val="FF0000"/>
          <w:sz w:val="28"/>
          <w:szCs w:val="28"/>
        </w:rPr>
      </w:pPr>
    </w:p>
    <w:p w14:paraId="65A43619" w14:textId="77777777" w:rsidR="00F00EAE" w:rsidRDefault="00F00EAE" w:rsidP="00F00EAE">
      <w:pPr>
        <w:pStyle w:val="a4"/>
        <w:tabs>
          <w:tab w:val="left" w:pos="426"/>
        </w:tabs>
        <w:ind w:left="-567" w:right="-427" w:firstLine="567"/>
        <w:jc w:val="both"/>
        <w:rPr>
          <w:rFonts w:ascii="Times New Roman" w:hAnsi="Times New Roman" w:cs="Times New Roman"/>
          <w:bCs/>
          <w:i/>
          <w:sz w:val="28"/>
          <w:szCs w:val="28"/>
        </w:rPr>
      </w:pPr>
      <w:r>
        <w:rPr>
          <w:rFonts w:ascii="Times New Roman" w:hAnsi="Times New Roman" w:cs="Times New Roman"/>
          <w:bCs/>
          <w:i/>
          <w:sz w:val="28"/>
          <w:szCs w:val="28"/>
        </w:rPr>
        <w:t>5.2. Контрол по изпълнение на присъдите. Дейност по чл.306 от НПК.</w:t>
      </w:r>
    </w:p>
    <w:p w14:paraId="67BC53C4" w14:textId="77777777" w:rsidR="00F00EAE" w:rsidRDefault="00F00EAE" w:rsidP="00F00EAE">
      <w:pPr>
        <w:pStyle w:val="a4"/>
        <w:tabs>
          <w:tab w:val="left" w:pos="426"/>
        </w:tabs>
        <w:ind w:left="-567" w:right="-427" w:firstLine="567"/>
        <w:jc w:val="both"/>
        <w:rPr>
          <w:rFonts w:ascii="Times New Roman" w:hAnsi="Times New Roman" w:cs="Times New Roman"/>
          <w:bCs/>
          <w:color w:val="FF0000"/>
          <w:sz w:val="28"/>
          <w:szCs w:val="28"/>
        </w:rPr>
      </w:pPr>
    </w:p>
    <w:p w14:paraId="3EE67B9E"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2025 г. прокурорите в региона на Окръжна прокуратура Пазарджик са изготвили и внесли в съда за разглеждане – 20 предложения по реда на чл. 306, от които 14 - уважени, неуважени – няма, 5 – неразгледани и 1 – други /прекратени, изпратени на друг съд за </w:t>
      </w:r>
      <w:proofErr w:type="spellStart"/>
      <w:r>
        <w:rPr>
          <w:rFonts w:ascii="Times New Roman" w:hAnsi="Times New Roman" w:cs="Times New Roman"/>
          <w:sz w:val="28"/>
          <w:szCs w:val="28"/>
        </w:rPr>
        <w:t>разгелждане</w:t>
      </w:r>
      <w:proofErr w:type="spellEnd"/>
      <w:r>
        <w:rPr>
          <w:rFonts w:ascii="Times New Roman" w:hAnsi="Times New Roman" w:cs="Times New Roman"/>
          <w:sz w:val="28"/>
          <w:szCs w:val="28"/>
        </w:rPr>
        <w:t xml:space="preserve"> и оставени без разглеждане/. При съпоставка с предходните две години, през 2024 г. прокуратурите в региона на Окръжна прокуратура Пазарджик са изготвили и внесли в съда за разглеждане – 31 предложения по реда на чл. 306, от които 25 – уважени, 2 – неуважени и 4 неразгледани, а през 2023 г. са били 25 предложения по реда на чл. 306 НПК, от които 23 – уважени, 0 – неуважени и 2 - неразгледани. Изводът е, че прокурорите, ангажирани с привеждането на присъдите в изпълнение стриктно и своевременно изпълняват своите задължения. </w:t>
      </w:r>
    </w:p>
    <w:p w14:paraId="2B212814"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През 2025 г. няма изготвени предложения за УПО по реда на чл. 437 ал. 1 т. 1 НПК от Окръжния прокурор на Окръжна прокуратура Пазарджик, както е било през 2024 г. и през 2023 г.</w:t>
      </w:r>
    </w:p>
    <w:p w14:paraId="320B4C47"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2025 г. институтът на чл.447 във връзка с чл. 448 от НПК - прекъсване изпълнението на наказанието „лишаване от свобода“ е прилаган спрямо 11 лица от Окръжния прокурор на ОП Пазарджик. За сравнение през 2024 г. е прекъснато изпълнението на наказанието „лишаване от свобода“ спрямо 14 лица, а през 2023 г. спрямо 17 лица. Във всички случаи на прекъсване изпълнението на наказанието това е ставало с обосновано постановление, копие от което е изпращано на </w:t>
      </w:r>
      <w:proofErr w:type="spellStart"/>
      <w:r>
        <w:rPr>
          <w:rFonts w:ascii="Times New Roman" w:hAnsi="Times New Roman" w:cs="Times New Roman"/>
          <w:sz w:val="28"/>
          <w:szCs w:val="28"/>
        </w:rPr>
        <w:t>горестоящите</w:t>
      </w:r>
      <w:proofErr w:type="spellEnd"/>
      <w:r>
        <w:rPr>
          <w:rFonts w:ascii="Times New Roman" w:hAnsi="Times New Roman" w:cs="Times New Roman"/>
          <w:sz w:val="28"/>
          <w:szCs w:val="28"/>
        </w:rPr>
        <w:t xml:space="preserve"> прокуратури. Сред лицата, ползвали се от прекъсване на наказанието няма такива, които да са се укрили или закъснели и да са били обявени за издирване. </w:t>
      </w:r>
    </w:p>
    <w:p w14:paraId="7679FE6E"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Обект на специално внимание са присъдите, с наложено наказание „лишаване от свобода“, по които осъдените лица не са били задържани и преведени в МЛС. През отчетната 2025 г. незадържаните лица за изтърпяване на наказание „лишаване от свобода", поради укриването им от органите по изпълнението за региона, са 14 лица. Тези лица се обявяват за ОДИ и периодично от Прокуратурата се изисква справка за хода на издирвателните мероприятия. </w:t>
      </w:r>
    </w:p>
    <w:p w14:paraId="4122BC78"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2025 г., прокурорите от съдебния регион са участвали в общо 206 съдебни заседания по 181 дела. В тези данни са отчетени участията в съдебни заседания по всички производства във връзка с изпълнение на наказанията, в т.ч. </w:t>
      </w:r>
      <w:r>
        <w:rPr>
          <w:rFonts w:ascii="Times New Roman" w:hAnsi="Times New Roman" w:cs="Times New Roman"/>
          <w:sz w:val="28"/>
          <w:szCs w:val="28"/>
        </w:rPr>
        <w:lastRenderedPageBreak/>
        <w:t>заседания по УПО, смяна на режима на изтърпяване на наказанието ЛС, реабилитация и кумулация.</w:t>
      </w:r>
    </w:p>
    <w:p w14:paraId="6CA520D5"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През 2024 г., прокурорите от съдебния регион са участвали в общо 208 съдебни заседания по 194 дела. В тези данни са отчетени участията в съдебни заседания по всички производства във връзка с изпълнение на наказанията, в т.ч. заседания по УПО, смяна на режима на изтърпяване на наказанието ЛС, реабилитация и кумулация.</w:t>
      </w:r>
    </w:p>
    <w:p w14:paraId="15E97209"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2023 г., прокурорите от съдебния регион са участвали в общо 219 съдебни заседания по 197 дела. </w:t>
      </w:r>
    </w:p>
    <w:p w14:paraId="37C8710D"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В заключение следва да се посочи, че прокурорите, ангажирани с изпълнение на наказанието през отчетната година са работили активно и стриктно са спазвали нормативните разпоредби. </w:t>
      </w:r>
    </w:p>
    <w:p w14:paraId="1FA5D8E4"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p>
    <w:p w14:paraId="387E5C26" w14:textId="77777777" w:rsidR="00F00EAE" w:rsidRDefault="00F00EAE" w:rsidP="00F00EAE">
      <w:pPr>
        <w:pStyle w:val="a4"/>
        <w:tabs>
          <w:tab w:val="left" w:pos="426"/>
        </w:tabs>
        <w:ind w:left="-567" w:right="-427" w:firstLine="567"/>
        <w:jc w:val="both"/>
        <w:rPr>
          <w:rFonts w:ascii="Times New Roman" w:hAnsi="Times New Roman" w:cs="Times New Roman"/>
          <w:i/>
          <w:sz w:val="28"/>
          <w:szCs w:val="28"/>
        </w:rPr>
      </w:pPr>
      <w:r>
        <w:rPr>
          <w:rFonts w:ascii="Times New Roman" w:hAnsi="Times New Roman" w:cs="Times New Roman"/>
          <w:i/>
          <w:sz w:val="28"/>
          <w:szCs w:val="28"/>
        </w:rPr>
        <w:t>5.3. Дейност по надзор за законност в местата за задържане и за изтърпяване на наказанията "лишаване от свобода”, "доживотен затвор" и „пробация".</w:t>
      </w:r>
    </w:p>
    <w:p w14:paraId="62A1F5EB" w14:textId="77777777" w:rsidR="00F00EAE" w:rsidRDefault="00F00EAE" w:rsidP="00F00EAE">
      <w:pPr>
        <w:pStyle w:val="a4"/>
        <w:tabs>
          <w:tab w:val="left" w:pos="426"/>
        </w:tabs>
        <w:ind w:left="-567" w:right="-427" w:firstLine="567"/>
        <w:jc w:val="both"/>
        <w:rPr>
          <w:rFonts w:ascii="Times New Roman" w:hAnsi="Times New Roman" w:cs="Times New Roman"/>
          <w:i/>
          <w:color w:val="FF0000"/>
          <w:sz w:val="28"/>
          <w:szCs w:val="28"/>
        </w:rPr>
      </w:pPr>
    </w:p>
    <w:p w14:paraId="7A642996"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отчетната 2025 г., надзорът за законност в местата за лишаване от свобода и местата за задържане е осъществяван от прокурорите с ежемесечни посещения в Затвора Пазарджик и ОЗ "Арести" Пазарджик. Посещенията се извършват по утвърден график от Окръжен прокурор Пазарджик и при възникнала необходимост. </w:t>
      </w:r>
    </w:p>
    <w:p w14:paraId="6F9C4AF0"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При неотложност на случаите след проверките са провеждани и провеждат съвместни срещи с Администрацията на Затвора и ареста, на които се обсъждат въпроси в оперативен порядък, предвид точното и еднакво прилагане разпоредбите на ЗИНЗС.</w:t>
      </w:r>
    </w:p>
    <w:p w14:paraId="59F3C54F"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В настоящият анализ, несъмнено следва да се посочи, че е налице добро взаимодействие между Администрацията на Затвора Пазарджик, Окръжна прокуратура Пазарджик, както и прилежащата й Районна прокуратура, за недопускане неоснователно задържане на лица, за точно прилагане на закона.</w:t>
      </w:r>
    </w:p>
    <w:p w14:paraId="77E545BB"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През 2025 г. не са констатирани случаи на нарушени права на лишените от свобода и на задържаните лица в местата за задържане.</w:t>
      </w:r>
    </w:p>
    <w:p w14:paraId="31B11590" w14:textId="77777777" w:rsidR="00F00EAE" w:rsidRDefault="00F00EAE" w:rsidP="00F00EAE">
      <w:pPr>
        <w:pStyle w:val="a4"/>
        <w:tabs>
          <w:tab w:val="left" w:pos="426"/>
        </w:tabs>
        <w:ind w:left="-567" w:right="-427" w:firstLine="567"/>
        <w:jc w:val="both"/>
        <w:rPr>
          <w:rFonts w:ascii="Times New Roman" w:hAnsi="Times New Roman" w:cs="Times New Roman"/>
          <w:color w:val="FF0000"/>
          <w:sz w:val="28"/>
          <w:szCs w:val="28"/>
        </w:rPr>
      </w:pPr>
    </w:p>
    <w:p w14:paraId="71950E40" w14:textId="77777777" w:rsidR="00F00EAE" w:rsidRDefault="00F00EAE" w:rsidP="00F00EAE">
      <w:pPr>
        <w:pStyle w:val="a4"/>
        <w:tabs>
          <w:tab w:val="left" w:pos="426"/>
        </w:tabs>
        <w:ind w:left="-567" w:right="-427" w:firstLine="567"/>
        <w:jc w:val="both"/>
        <w:rPr>
          <w:rFonts w:ascii="Times New Roman" w:hAnsi="Times New Roman" w:cs="Times New Roman"/>
          <w:i/>
          <w:sz w:val="28"/>
          <w:szCs w:val="28"/>
        </w:rPr>
      </w:pPr>
      <w:r>
        <w:rPr>
          <w:rFonts w:ascii="Times New Roman" w:hAnsi="Times New Roman" w:cs="Times New Roman"/>
          <w:i/>
          <w:sz w:val="28"/>
          <w:szCs w:val="28"/>
        </w:rPr>
        <w:t>5.4. Принудителни мерки.</w:t>
      </w:r>
    </w:p>
    <w:p w14:paraId="7E509E63" w14:textId="77777777" w:rsidR="00F00EAE" w:rsidRDefault="00F00EAE" w:rsidP="00F00EAE">
      <w:pPr>
        <w:pStyle w:val="a4"/>
        <w:tabs>
          <w:tab w:val="left" w:pos="426"/>
        </w:tabs>
        <w:ind w:left="-567" w:right="-427" w:firstLine="567"/>
        <w:jc w:val="both"/>
        <w:rPr>
          <w:rFonts w:ascii="Times New Roman" w:hAnsi="Times New Roman" w:cs="Times New Roman"/>
          <w:color w:val="FF0000"/>
          <w:sz w:val="28"/>
          <w:szCs w:val="28"/>
        </w:rPr>
      </w:pPr>
    </w:p>
    <w:p w14:paraId="75D946F4"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отчетния период Прокуратурите от съдебния регион са наблюдавали общо 19 преписки, касаещи дейността по прилагането на принудителните медицински мерки по чл.155 от Закон за здравето, всички на РП Пазарджик, от които 12 новообразувани. За сравнение с предходните години: през 2024 г. те са били 19 преписки, а през 2023 г. са били 10 преписки, </w:t>
      </w:r>
    </w:p>
    <w:p w14:paraId="2B83FCBF" w14:textId="77777777" w:rsidR="00F00EAE" w:rsidRDefault="00F00EAE" w:rsidP="00F00EAE">
      <w:pPr>
        <w:pStyle w:val="a4"/>
        <w:tabs>
          <w:tab w:val="left" w:pos="426"/>
        </w:tabs>
        <w:ind w:left="-567" w:right="-427" w:firstLine="567"/>
        <w:jc w:val="both"/>
        <w:rPr>
          <w:rFonts w:ascii="Times New Roman" w:hAnsi="Times New Roman" w:cs="Times New Roman"/>
          <w:sz w:val="28"/>
          <w:szCs w:val="28"/>
        </w:rPr>
      </w:pPr>
      <w:r>
        <w:rPr>
          <w:rFonts w:ascii="Times New Roman" w:hAnsi="Times New Roman" w:cs="Times New Roman"/>
          <w:sz w:val="28"/>
          <w:szCs w:val="28"/>
        </w:rPr>
        <w:t xml:space="preserve">През 2025 г. внесените в съда предложения са 6, като 3 са разгледани и уважени. През отчетния период, прокурорите от РП Пазарджик са взели участие в 21 съдебни заседания по производства свързани с прилагането на принудителни медицински мерки. </w:t>
      </w:r>
    </w:p>
    <w:p w14:paraId="0183F9D7" w14:textId="77777777" w:rsidR="00F00EAE" w:rsidRDefault="00F00EAE" w:rsidP="00F00EAE">
      <w:pPr>
        <w:pStyle w:val="a4"/>
        <w:tabs>
          <w:tab w:val="left" w:pos="426"/>
        </w:tabs>
        <w:ind w:left="-567" w:right="-427" w:firstLine="567"/>
        <w:jc w:val="both"/>
        <w:rPr>
          <w:rFonts w:ascii="Times New Roman" w:hAnsi="Times New Roman" w:cs="Times New Roman"/>
          <w:color w:val="FF0000"/>
          <w:sz w:val="28"/>
          <w:szCs w:val="28"/>
        </w:rPr>
      </w:pPr>
      <w:r>
        <w:rPr>
          <w:rFonts w:ascii="Times New Roman" w:hAnsi="Times New Roman" w:cs="Times New Roman"/>
          <w:sz w:val="28"/>
          <w:szCs w:val="28"/>
        </w:rPr>
        <w:t>Анализът на данните, сочи, че прокурорите са внасяли мотивирани предложения за прилагането на принудителни медицински мерки.</w:t>
      </w:r>
      <w:bookmarkEnd w:id="50"/>
    </w:p>
    <w:p w14:paraId="3F146766" w14:textId="77777777" w:rsidR="00660716" w:rsidRDefault="00660716" w:rsidP="0011478B">
      <w:pPr>
        <w:pStyle w:val="a4"/>
        <w:rPr>
          <w:rFonts w:ascii="Times New Roman" w:eastAsia="Cambria" w:hAnsi="Times New Roman" w:cs="Times New Roman"/>
          <w:b/>
          <w:bCs/>
          <w:sz w:val="28"/>
          <w:szCs w:val="28"/>
          <w:lang w:eastAsia="en-US"/>
        </w:rPr>
      </w:pPr>
    </w:p>
    <w:p w14:paraId="0CCF9A09"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rPr>
      </w:pPr>
      <w:bookmarkStart w:id="51" w:name="OLE_LINK24"/>
      <w:r>
        <w:rPr>
          <w:rFonts w:ascii="Times New Roman" w:eastAsia="Cambria" w:hAnsi="Times New Roman" w:cs="Times New Roman"/>
          <w:b/>
          <w:color w:val="000000" w:themeColor="text1"/>
          <w:sz w:val="28"/>
          <w:szCs w:val="28"/>
        </w:rPr>
        <w:t xml:space="preserve">РАЗДЕЛ </w:t>
      </w:r>
      <w:r>
        <w:rPr>
          <w:rFonts w:ascii="Times New Roman" w:eastAsia="Cambria" w:hAnsi="Times New Roman" w:cs="Times New Roman"/>
          <w:b/>
          <w:color w:val="000000" w:themeColor="text1"/>
          <w:sz w:val="28"/>
          <w:szCs w:val="28"/>
          <w:lang w:val="en-US"/>
        </w:rPr>
        <w:t>IV</w:t>
      </w:r>
      <w:r>
        <w:rPr>
          <w:rFonts w:ascii="Times New Roman" w:eastAsia="Cambria" w:hAnsi="Times New Roman" w:cs="Times New Roman"/>
          <w:b/>
          <w:color w:val="000000" w:themeColor="text1"/>
          <w:sz w:val="28"/>
          <w:szCs w:val="28"/>
        </w:rPr>
        <w:t>: ДЕЙНОСТ ПО ИЗПЪЛНЕНИЕ НА ПРЕПОРЪКИТЕ В РАМКИТЕ НА ВЪРХОВЕНСТВОТО НА ПРАВОТО. НАКАЗАТЕЛНИ ПРОИЗДОСТВА, ОБРАЗУВАНИ ЗА НЯКОИ КАТЕГОРИИ ТЕЖКИ ПРЕСТЪПЛЕНИЯ И ТАКИВА ОТ ОСОБЕН ОБЩЕСТВЕН ИНТЕРЕС</w:t>
      </w:r>
    </w:p>
    <w:p w14:paraId="13551261"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u w:val="single"/>
        </w:rPr>
      </w:pPr>
      <w:r>
        <w:rPr>
          <w:rFonts w:ascii="Times New Roman" w:eastAsia="Cambria" w:hAnsi="Times New Roman" w:cs="Times New Roman"/>
          <w:color w:val="000000" w:themeColor="text1"/>
          <w:sz w:val="28"/>
          <w:szCs w:val="28"/>
          <w:u w:val="single"/>
        </w:rPr>
        <w:t xml:space="preserve">     </w:t>
      </w:r>
    </w:p>
    <w:p w14:paraId="41AED52D" w14:textId="39A095BD" w:rsidR="00F00EAE" w:rsidRDefault="0041602B" w:rsidP="00F00EAE">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1.</w:t>
      </w:r>
      <w:r w:rsidR="00F00EAE">
        <w:rPr>
          <w:rFonts w:ascii="Times New Roman" w:eastAsia="Cambria" w:hAnsi="Times New Roman" w:cs="Times New Roman"/>
          <w:color w:val="000000" w:themeColor="text1"/>
          <w:sz w:val="28"/>
          <w:szCs w:val="28"/>
        </w:rPr>
        <w:t xml:space="preserve">Със Заповед № РД-02-16/21.07.2023 г. на </w:t>
      </w:r>
      <w:proofErr w:type="spellStart"/>
      <w:r w:rsidR="00F00EAE">
        <w:rPr>
          <w:rFonts w:ascii="Times New Roman" w:eastAsia="Cambria" w:hAnsi="Times New Roman" w:cs="Times New Roman"/>
          <w:color w:val="000000" w:themeColor="text1"/>
          <w:sz w:val="28"/>
          <w:szCs w:val="28"/>
        </w:rPr>
        <w:t>и.ф</w:t>
      </w:r>
      <w:proofErr w:type="spellEnd"/>
      <w:r w:rsidR="00F00EAE">
        <w:rPr>
          <w:rFonts w:ascii="Times New Roman" w:eastAsia="Cambria" w:hAnsi="Times New Roman" w:cs="Times New Roman"/>
          <w:color w:val="000000" w:themeColor="text1"/>
          <w:sz w:val="28"/>
          <w:szCs w:val="28"/>
        </w:rPr>
        <w:t xml:space="preserve">. Главен прокурор е отменено указанието за специален надзор, поради което не което не би могла да се направи обективна съпоставка и анализ на данните за отчетната 2025г.  спрямо предходни години, тъй като от средата на 2023 г. специален надзор по отношение на досъдебни производства, образувани за някой категории тежки престъпления е преустановен. </w:t>
      </w:r>
    </w:p>
    <w:p w14:paraId="6B34F331"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p>
    <w:p w14:paraId="69628274" w14:textId="0A601F75" w:rsidR="00F00EAE" w:rsidRDefault="0041602B" w:rsidP="00F00EAE">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2.</w:t>
      </w:r>
      <w:r w:rsidR="00F00EAE">
        <w:rPr>
          <w:rFonts w:ascii="Times New Roman" w:eastAsia="Cambria" w:hAnsi="Times New Roman" w:cs="Times New Roman"/>
          <w:color w:val="000000" w:themeColor="text1"/>
          <w:sz w:val="28"/>
          <w:szCs w:val="28"/>
        </w:rPr>
        <w:t xml:space="preserve">Със Заповед №РД-04-240/10.09.2024г. на И.Ф. Главен прокурор на </w:t>
      </w:r>
      <w:proofErr w:type="spellStart"/>
      <w:r w:rsidR="00F00EAE">
        <w:rPr>
          <w:rFonts w:ascii="Times New Roman" w:eastAsia="Cambria" w:hAnsi="Times New Roman" w:cs="Times New Roman"/>
          <w:color w:val="000000" w:themeColor="text1"/>
          <w:sz w:val="28"/>
          <w:szCs w:val="28"/>
        </w:rPr>
        <w:t>Р.България</w:t>
      </w:r>
      <w:proofErr w:type="spellEnd"/>
      <w:r w:rsidR="00F00EAE">
        <w:rPr>
          <w:rFonts w:ascii="Times New Roman" w:eastAsia="Cambria" w:hAnsi="Times New Roman" w:cs="Times New Roman"/>
          <w:color w:val="000000" w:themeColor="text1"/>
          <w:sz w:val="28"/>
          <w:szCs w:val="28"/>
        </w:rPr>
        <w:t xml:space="preserve"> и последвала Заповед № 109/12.09.2024 г. на Апелативния прокурор на Апелативна прокуратура –Пловдив  е създадена организация, свързана с оказване на засилена методическа помощ, упражняване на надзор върху разследването и осъществяване на служебен контрол върху прокурорските актове по наказателни производства, съставляващи особена фактическа и правна сложност, имащи значение за прокурорската и съдебна практика и/или представляващи значителен обществен интерес.</w:t>
      </w:r>
    </w:p>
    <w:p w14:paraId="03338C76"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В изпълнение на посочените заповеди и в указания срок до Апелативна прокуратура – Пловдив са били подадени 4 бр. уведомления по преписки и 8 бр. уведомления за образувани ДП с предмет в обхвата на т.1 от Заповед №РД-04-240/10.09.2024г. на И.Ф. Главен прокурор. По всичките досъдебни производства прокурор при АП-Пловдив е извършил преценка на необходимостта от оказване на методическа помощ, която е отрицателна поради отсъствието на особена фактическа и правна сложност и липса на изрично направено искане от уведомяващият, наблюдаващ конкретната преписка и досъдебно производство, прокурор. </w:t>
      </w:r>
    </w:p>
    <w:p w14:paraId="6BA0490E"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p>
    <w:p w14:paraId="79A9B555"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b/>
          <w:color w:val="FF0000"/>
          <w:sz w:val="28"/>
          <w:szCs w:val="28"/>
        </w:rPr>
      </w:pPr>
    </w:p>
    <w:p w14:paraId="7E9E78AF" w14:textId="77777777" w:rsidR="00F00EAE" w:rsidRDefault="00F00EAE" w:rsidP="00F00EAE">
      <w:pPr>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rPr>
      </w:pPr>
      <w:bookmarkStart w:id="52" w:name="OLE_LINK68"/>
      <w:r>
        <w:rPr>
          <w:rFonts w:ascii="Times New Roman" w:eastAsia="Cambria" w:hAnsi="Times New Roman" w:cs="Times New Roman"/>
          <w:b/>
          <w:color w:val="000000" w:themeColor="text1"/>
          <w:sz w:val="28"/>
          <w:szCs w:val="28"/>
        </w:rPr>
        <w:t xml:space="preserve">Наказателни производства, образувани за някои категории тежки престъпления и такива от особен обществен интерес: </w:t>
      </w:r>
    </w:p>
    <w:p w14:paraId="2088C6B0" w14:textId="77777777" w:rsidR="00F00EAE" w:rsidRDefault="00E312E6" w:rsidP="00F00EAE">
      <w:pPr>
        <w:tabs>
          <w:tab w:val="left" w:pos="426"/>
          <w:tab w:val="left" w:pos="709"/>
          <w:tab w:val="left" w:pos="1425"/>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4 бр. ДП</w:t>
      </w:r>
    </w:p>
    <w:bookmarkEnd w:id="51"/>
    <w:bookmarkEnd w:id="52"/>
    <w:p w14:paraId="3A3B242E" w14:textId="77777777" w:rsidR="00F00EAE" w:rsidRDefault="00F00EAE" w:rsidP="00F00EAE">
      <w:pPr>
        <w:pStyle w:val="a4"/>
        <w:ind w:left="-567" w:right="-427" w:firstLine="567"/>
        <w:jc w:val="both"/>
        <w:rPr>
          <w:rFonts w:ascii="Times New Roman" w:eastAsia="Times New Roman" w:hAnsi="Times New Roman" w:cs="Times New Roman"/>
          <w:b/>
          <w:color w:val="000000" w:themeColor="text1"/>
          <w:sz w:val="28"/>
          <w:szCs w:val="28"/>
        </w:rPr>
      </w:pPr>
    </w:p>
    <w:p w14:paraId="09E7D52D" w14:textId="77777777" w:rsidR="00F00EAE" w:rsidRDefault="00F00EAE" w:rsidP="00F00EAE">
      <w:pPr>
        <w:tabs>
          <w:tab w:val="left" w:pos="426"/>
          <w:tab w:val="left" w:pos="709"/>
        </w:tabs>
        <w:spacing w:after="0" w:line="240" w:lineRule="auto"/>
        <w:ind w:left="-567" w:right="-427"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4.1. Организирана престъпност. </w:t>
      </w:r>
    </w:p>
    <w:p w14:paraId="1DE9D85F" w14:textId="77777777" w:rsidR="00F00EAE" w:rsidRDefault="00F00EAE" w:rsidP="00F00EAE">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През отчетната 2025 г. от Окръжна прокуратура Пазарджик са наблюдавани 20 досъдебни производства, свързани с организирана престъпност. Всичките досъдебни производства са водени за престъпления по чл. 321 от НК. От тях новообразувани за периода са 7 досъдебни производства. Към края на отчетния период са били решени по чл.242 НПК от прокурор  6 досъдебни производства, 2 досъдебни производства са решени с прекратяване и 3 спрени </w:t>
      </w:r>
      <w:proofErr w:type="spellStart"/>
      <w:r>
        <w:rPr>
          <w:rFonts w:ascii="Times New Roman" w:eastAsia="Cambria" w:hAnsi="Times New Roman" w:cs="Times New Roman"/>
          <w:color w:val="000000" w:themeColor="text1"/>
          <w:sz w:val="28"/>
          <w:szCs w:val="28"/>
        </w:rPr>
        <w:t>ДП,а</w:t>
      </w:r>
      <w:proofErr w:type="spellEnd"/>
      <w:r>
        <w:rPr>
          <w:rFonts w:ascii="Times New Roman" w:eastAsia="Cambria" w:hAnsi="Times New Roman" w:cs="Times New Roman"/>
          <w:color w:val="000000" w:themeColor="text1"/>
          <w:sz w:val="28"/>
          <w:szCs w:val="28"/>
        </w:rPr>
        <w:t xml:space="preserve"> 1 е изпратено по компетентност.</w:t>
      </w:r>
    </w:p>
    <w:p w14:paraId="2F1E70C1" w14:textId="77777777" w:rsidR="00F00EAE" w:rsidRDefault="00F00EAE" w:rsidP="00F00EAE">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За сравнение през 2024 г. са били наблюдавани общо 16 досъдебни производства, свързани с организирана престъпност. Всичките досъдебни </w:t>
      </w:r>
      <w:r>
        <w:rPr>
          <w:rFonts w:ascii="Times New Roman" w:eastAsia="Cambria" w:hAnsi="Times New Roman" w:cs="Times New Roman"/>
          <w:color w:val="000000" w:themeColor="text1"/>
          <w:sz w:val="28"/>
          <w:szCs w:val="28"/>
        </w:rPr>
        <w:lastRenderedPageBreak/>
        <w:t>производства са водени за престъпления по чл. 321 от НК. От тях новообразувани за периода са били 5 досъдебни производства. Към края на отчетния период са били приключени 4 досъдебни производства. От тях решени са били 4 ДП, като 3  ДП от тях са били прекратени.</w:t>
      </w:r>
    </w:p>
    <w:p w14:paraId="3DD87774" w14:textId="77777777" w:rsidR="00F00EAE" w:rsidRDefault="00F00EAE" w:rsidP="00F00EAE">
      <w:pPr>
        <w:tabs>
          <w:tab w:val="left" w:pos="426"/>
          <w:tab w:val="left" w:pos="709"/>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През 2023 г. Окръжна прокуратура Пазарджик е наблюдавала 17 досъдебни производства, свързано с организирана престъпност. От тях 2 са били новообразуваните. Приключени  са било 4 ДП -2 прекратени и 2 внесени в съд. </w:t>
      </w:r>
    </w:p>
    <w:p w14:paraId="346B60BA" w14:textId="77777777" w:rsidR="00F00EAE" w:rsidRDefault="00F00EAE" w:rsidP="00F00EAE">
      <w:pPr>
        <w:tabs>
          <w:tab w:val="left" w:pos="426"/>
          <w:tab w:val="left" w:pos="709"/>
          <w:tab w:val="left" w:pos="1425"/>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Причината за немалкия брой на наблюдаваните дела от този вид е обективна и е резултат от закриването на Специализираната прокуратура и изпращането на неприключените досъдебни производства по компетентност в съответните Окръжни прокуратури, както и новообразуваните производства в Окръжна прокуратура Пазарджик за престъпления по чл. 321 от НК.</w:t>
      </w:r>
    </w:p>
    <w:p w14:paraId="166A9345" w14:textId="77777777" w:rsidR="00F00EAE" w:rsidRDefault="00F00EAE" w:rsidP="0011478B">
      <w:pPr>
        <w:pStyle w:val="a4"/>
        <w:rPr>
          <w:rFonts w:ascii="Times New Roman" w:eastAsia="Cambria" w:hAnsi="Times New Roman" w:cs="Times New Roman"/>
          <w:b/>
          <w:bCs/>
          <w:sz w:val="28"/>
          <w:szCs w:val="28"/>
          <w:lang w:eastAsia="en-US"/>
        </w:rPr>
      </w:pPr>
    </w:p>
    <w:p w14:paraId="158F2BBB" w14:textId="77777777" w:rsidR="00EC1E22" w:rsidRDefault="00EA63AD" w:rsidP="00EC1E22">
      <w:pPr>
        <w:tabs>
          <w:tab w:val="left" w:pos="426"/>
          <w:tab w:val="left" w:pos="1170"/>
        </w:tabs>
        <w:suppressAutoHyphens/>
        <w:spacing w:after="0" w:line="240" w:lineRule="auto"/>
        <w:ind w:left="-567" w:right="-427" w:firstLine="567"/>
        <w:jc w:val="center"/>
        <w:rPr>
          <w:rFonts w:ascii="Times New Roman" w:eastAsia="Times New Roman" w:hAnsi="Times New Roman" w:cs="Times New Roman"/>
          <w:b/>
          <w:sz w:val="28"/>
          <w:szCs w:val="28"/>
          <w:lang w:eastAsia="ar-SA"/>
        </w:rPr>
      </w:pPr>
      <w:r w:rsidRPr="00647A70">
        <w:rPr>
          <w:rFonts w:ascii="Times New Roman" w:eastAsia="Cambria" w:hAnsi="Times New Roman" w:cs="Times New Roman"/>
          <w:b/>
          <w:sz w:val="28"/>
          <w:szCs w:val="28"/>
          <w:lang w:eastAsia="en-US"/>
        </w:rPr>
        <w:t xml:space="preserve">  </w:t>
      </w:r>
      <w:r w:rsidR="00EC1E22">
        <w:rPr>
          <w:rFonts w:ascii="Times New Roman" w:eastAsia="Times New Roman" w:hAnsi="Times New Roman" w:cs="Times New Roman"/>
          <w:b/>
          <w:sz w:val="28"/>
          <w:szCs w:val="28"/>
          <w:lang w:eastAsia="ar-SA"/>
        </w:rPr>
        <w:t xml:space="preserve">РАЗДЕЛ V. </w:t>
      </w:r>
    </w:p>
    <w:p w14:paraId="308D5736" w14:textId="77777777" w:rsidR="00EC1E22" w:rsidRDefault="00EC1E22" w:rsidP="00EC1E22">
      <w:pPr>
        <w:tabs>
          <w:tab w:val="left" w:pos="426"/>
          <w:tab w:val="left" w:pos="1170"/>
        </w:tabs>
        <w:suppressAutoHyphens/>
        <w:spacing w:after="0" w:line="240" w:lineRule="auto"/>
        <w:ind w:left="-567" w:right="-427" w:firstLine="567"/>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ДЕЙНОСТ НА ПРОКУРАТУРАТА ПО АДМИНИСТРАТИВНО - СЪДЕБНИЯ НАДЗОР И НАДЗОРА ЗА ЗАКОННОСТ</w:t>
      </w:r>
    </w:p>
    <w:p w14:paraId="395787E3" w14:textId="77777777" w:rsidR="00EC1E22" w:rsidRDefault="00EC1E22" w:rsidP="00EC1E22">
      <w:pPr>
        <w:tabs>
          <w:tab w:val="left" w:pos="426"/>
        </w:tabs>
        <w:suppressAutoHyphens/>
        <w:spacing w:after="0" w:line="240" w:lineRule="auto"/>
        <w:ind w:left="-567" w:right="-427" w:firstLine="567"/>
        <w:jc w:val="both"/>
        <w:rPr>
          <w:rFonts w:ascii="Times New Roman" w:eastAsia="Times New Roman" w:hAnsi="Times New Roman" w:cs="Times New Roman"/>
          <w:sz w:val="28"/>
          <w:szCs w:val="28"/>
          <w:lang w:val="en-US" w:eastAsia="ar-SA"/>
        </w:rPr>
      </w:pPr>
    </w:p>
    <w:p w14:paraId="6E04DE10"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u w:val="single"/>
        </w:rPr>
      </w:pPr>
      <w:r>
        <w:rPr>
          <w:rFonts w:ascii="Times New Roman" w:eastAsia="Cambria" w:hAnsi="Times New Roman" w:cs="Times New Roman"/>
          <w:sz w:val="28"/>
          <w:u w:val="single"/>
        </w:rPr>
        <w:t>Състояние и организация на дейността по административно-съдебния надзор и по надзора за законност по прилагането на закона.</w:t>
      </w:r>
    </w:p>
    <w:p w14:paraId="4BC7FA68"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u w:val="single"/>
        </w:rPr>
      </w:pPr>
    </w:p>
    <w:p w14:paraId="51DE4584"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През 2025 г. дейността на Окръжна прокуратура Пазарджик и на Районните прокуратури в региона по административно-съдебния надзор за законност по прилагането на закона се осъществяваше в съответствие с Конституцията на РБългария, </w:t>
      </w:r>
      <w:proofErr w:type="spellStart"/>
      <w:r>
        <w:rPr>
          <w:rFonts w:ascii="Times New Roman" w:eastAsia="Cambria" w:hAnsi="Times New Roman" w:cs="Times New Roman"/>
          <w:sz w:val="28"/>
        </w:rPr>
        <w:t>ЗСВл</w:t>
      </w:r>
      <w:proofErr w:type="spellEnd"/>
      <w:r>
        <w:rPr>
          <w:rFonts w:ascii="Times New Roman" w:eastAsia="Cambria" w:hAnsi="Times New Roman" w:cs="Times New Roman"/>
          <w:sz w:val="28"/>
        </w:rPr>
        <w:t>, АПК, законите на страната, указанията на ВП на РБългария и АП Пловдив. В ОП Пазарджик бе създаден и функционира административен отдел, а в РП в региона имаше определени отговорници по надзора. Всяка прокуратура работеше в областта на този надзор по одобрен годишен план, по който се изпълняваха поставените задачи. Участието на прокурорите в административни дела по ЗАНН и АПК в съдебни заседания се осигуряваше по предварително изготвен график и чрез призоваване от Административен съд Пазарджик по делата.</w:t>
      </w:r>
    </w:p>
    <w:p w14:paraId="571DBBB5"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2025 г. за административният отдел на ОП Пазарджик реално работеха петима прокурори.</w:t>
      </w:r>
    </w:p>
    <w:p w14:paraId="2AB6F808"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В Районна прокуратура Пазарджик дейността се осъществяваше от 14 прокурора. </w:t>
      </w:r>
    </w:p>
    <w:p w14:paraId="48560640"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Броят на реално работещите прокурори по надзора съвпада с горните цифри.</w:t>
      </w:r>
    </w:p>
    <w:p w14:paraId="273A99B2"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отчетния период повишаването на квалификацията на прокурорите по надзора се осъществяваше чрез работни срещи и методически указания на по-</w:t>
      </w:r>
      <w:proofErr w:type="spellStart"/>
      <w:r>
        <w:rPr>
          <w:rFonts w:ascii="Times New Roman" w:eastAsia="Cambria" w:hAnsi="Times New Roman" w:cs="Times New Roman"/>
          <w:sz w:val="28"/>
        </w:rPr>
        <w:t>горестоящите</w:t>
      </w:r>
      <w:proofErr w:type="spellEnd"/>
      <w:r>
        <w:rPr>
          <w:rFonts w:ascii="Times New Roman" w:eastAsia="Cambria" w:hAnsi="Times New Roman" w:cs="Times New Roman"/>
          <w:sz w:val="28"/>
        </w:rPr>
        <w:t xml:space="preserve"> прокуратури, чрез обсъждане на възникнали проблеми в практиката или на събрания между колегите. </w:t>
      </w:r>
    </w:p>
    <w:p w14:paraId="0E271058"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Средната натовареност на прокурорите от административния отдел за ОП Пазарджик и РП Пазарджик общо за региона по надзора за законност, защита на обществения интерес и правата на гражданите през  отчетната година е 11,7. По отделно за ОП Пазарджик е 10,2, а за РП  Пазарджик – 12,2, при показатели през 2024 г. за ОП Пазарджик - 13,80 и за РП Пазарджик - 15,1.</w:t>
      </w:r>
    </w:p>
    <w:p w14:paraId="0BAAA8CF"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Отделно от това административният отдел на ОП Пазарджик има средна натовареност 73,2 административни дела на прокурор от отдела при 75 за 2024 г., </w:t>
      </w:r>
      <w:r>
        <w:rPr>
          <w:rFonts w:ascii="Times New Roman" w:eastAsia="Cambria" w:hAnsi="Times New Roman" w:cs="Times New Roman"/>
          <w:sz w:val="28"/>
        </w:rPr>
        <w:lastRenderedPageBreak/>
        <w:t>68,3 за 2023 г., 100,4 за 2022 г. През предходните години натовареността е била по-висока, тъй като по надзора са работили по-малко прокурори.</w:t>
      </w:r>
    </w:p>
    <w:p w14:paraId="2D1AC074"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отчетната година проблеми по прилагането на законовата и подзаконовата нормативна уредба не са възниквали.</w:t>
      </w:r>
    </w:p>
    <w:p w14:paraId="7655DEE8"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Общините изпращат периодично копия от дневния ред от заседанията с материалите и решенията на общинските съвети, които се проверяват от прокурорите по надзора. ОП Пазарджик и РП Пазарджик извършват периодични проверки по решенията от заседанията на общинските съвети и подават протести срещу техни незаконосъобразни актове. Гражданите също подават сигнали до РП Пазарджик и ОП Пазарджик.</w:t>
      </w:r>
    </w:p>
    <w:p w14:paraId="57555008"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p>
    <w:p w14:paraId="7EEC3684"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u w:val="single"/>
        </w:rPr>
      </w:pPr>
      <w:r>
        <w:rPr>
          <w:rFonts w:ascii="Times New Roman" w:eastAsia="Cambria" w:hAnsi="Times New Roman" w:cs="Times New Roman"/>
          <w:sz w:val="28"/>
          <w:u w:val="single"/>
        </w:rPr>
        <w:t>Дейност на административния отдел на Окръжна прокуратура  Пазарджик по административно-съдебния надзор за законност на административните актове.</w:t>
      </w:r>
    </w:p>
    <w:p w14:paraId="46F47092"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отчетната година прокурорите от Окръжна прокуратура  Пазарджик са участвали общо в разглеждането на 363 първоинстанционни и касационни административни дела срещу административни актове по реда на ЗАНН и АПК, от които 115 бр. първоинстанционни и 248 бр.  касационни. През предходната 2024 г. – 373 дела, през 2023 г. – 400 дела, през 2022 г. - 491 дела.</w:t>
      </w:r>
    </w:p>
    <w:p w14:paraId="2A8F6C61"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Общият брой на съдебните заседания по административни дела през 2025 г. е 482 и надвишава броя на делата поради това, че някои от тях са отлагани. През 2024 г. заседанията са били 542, през 2023 г. - 558, през 2022 – 699.</w:t>
      </w:r>
    </w:p>
    <w:p w14:paraId="5B3D88D3"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От общия брой 363 административни дела през годината прокурорите са участвали по закон в 360 дела. Те включват 242 касационни дела, които са по чл. 63 от ЗАНН, 5 бр. за възобновяване по чл. 70 - 72 от ЗАНН, 1 бр. ЧКАНД и 112 от първоинстанционните административни дела по АПК. </w:t>
      </w:r>
    </w:p>
    <w:p w14:paraId="62B6DA58"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Касационните административни дела по материя основно са по ЗДвП, ЗОБВВПИ, ЗМВР, ЗДДС, КЗ, ЗСБТ, </w:t>
      </w:r>
      <w:proofErr w:type="spellStart"/>
      <w:r>
        <w:rPr>
          <w:rFonts w:ascii="Times New Roman" w:eastAsia="Cambria" w:hAnsi="Times New Roman" w:cs="Times New Roman"/>
          <w:sz w:val="28"/>
        </w:rPr>
        <w:t>ЗАвт</w:t>
      </w:r>
      <w:proofErr w:type="spellEnd"/>
      <w:r>
        <w:rPr>
          <w:rFonts w:ascii="Times New Roman" w:eastAsia="Cambria" w:hAnsi="Times New Roman" w:cs="Times New Roman"/>
          <w:sz w:val="28"/>
        </w:rPr>
        <w:t xml:space="preserve"> превози, ЗЗП, КТ, </w:t>
      </w:r>
      <w:proofErr w:type="spellStart"/>
      <w:r>
        <w:rPr>
          <w:rFonts w:ascii="Times New Roman" w:eastAsia="Cambria" w:hAnsi="Times New Roman" w:cs="Times New Roman"/>
          <w:sz w:val="28"/>
        </w:rPr>
        <w:t>ЗХр</w:t>
      </w:r>
      <w:proofErr w:type="spellEnd"/>
      <w:r>
        <w:rPr>
          <w:rFonts w:ascii="Times New Roman" w:eastAsia="Cambria" w:hAnsi="Times New Roman" w:cs="Times New Roman"/>
          <w:sz w:val="28"/>
        </w:rPr>
        <w:t>, ЗСПЗЗ, ЗУТ и др.</w:t>
      </w:r>
    </w:p>
    <w:p w14:paraId="1BE35E0D"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За предходните години касационните административни дела през 2024 г. са 238 бр., 2023 – 290, през 2022 – 375.</w:t>
      </w:r>
    </w:p>
    <w:p w14:paraId="7C9BEAC4"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2025 г. от общо 115 първоинстанционни административни дела с участие на прокурор по реда на АПК има едно дело срещу подзаконов нормативен акт на общински съвет и 3 дела по лична преценка на прокурор. Останалите дела са по чл. 203 от АПК във връзка с чл. 1 от ЗОДОВ. През 2024 г. първоинстанционните административни дела са били 129 броя, от които 1 брой срещу подзаконов нормативен акт. През 2023 г. не е имало дела срещу подзаконови нормативни актове, но по чл. 203 от АПК във вр. с чл. 1 от ЗОДОВ делата са били 98. През 2022 г. те са били съответно 1 и 94.</w:t>
      </w:r>
    </w:p>
    <w:p w14:paraId="048A5D70"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Трите първоинстанционни административни дела по лична преценка на прокурор са по стари протести от предни години. Едното дело е по протест на ОП гр. Пазарджик срещу незаконосъобразно решение на Общински съвет гр. Пазарджик, второто дело е по протест на прокурор от ВАП на РБ срещу Заповед на Министъра на околната среда и водите за промяна на границите на защитена територия „Клептуза“, издадена по реда на ЗЗТ. Третото дело е по протест на РП гр. Пазарджик срещу Заповед на кмета на Белово, издадена по реда на ЗУТ. През 2024 г. делата по лична преценка с участие на прокурор са били 2 броя. През 2023 г. – 8 бр. През 2022 г. – 14 броя. </w:t>
      </w:r>
    </w:p>
    <w:p w14:paraId="4B2F4B75"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lastRenderedPageBreak/>
        <w:t>През 2025 г. прокурорите не са участвали в дела по преценка, свързана със Заповед № РД-02-11/09.02.2021 г. на Главен прокурор на РБ, докато през 2024 г. те са участвали в 3 бр. през 2023 г. в 3 бр. и през 2022 г. в 3 бр. такива дела.</w:t>
      </w:r>
    </w:p>
    <w:p w14:paraId="706EA310"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През 2025 г. прокурорите от ОП Пазарджик са участвали в 5 дела за възобновяване по чл. 70-72 от ЗАНН, по предложения на РП Пазарджик и ОП – Пазарджик. През 2024 г. в 3 броя дела. През 2023 г. – 1 дело, през 2022 г. – 14 дела. </w:t>
      </w:r>
    </w:p>
    <w:p w14:paraId="5F729BAA"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p>
    <w:p w14:paraId="4ACAB687"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p>
    <w:p w14:paraId="5DC936DA"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u w:val="single"/>
        </w:rPr>
      </w:pPr>
      <w:r>
        <w:rPr>
          <w:rFonts w:ascii="Times New Roman" w:eastAsia="Cambria" w:hAnsi="Times New Roman" w:cs="Times New Roman"/>
          <w:sz w:val="28"/>
          <w:u w:val="single"/>
        </w:rPr>
        <w:t>Подадени прокурорски актове до съда и резултати по тях:</w:t>
      </w:r>
    </w:p>
    <w:p w14:paraId="0B4A32EC"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През 2025 г. по този надзор от ОП Пазарджик и РП Пазарджик са подадени общо 6 акта до АС гр. Пазарджик. От тях 3 предложения са на ОП гр. Пазарджик за възобновяване на административно-наказателни производства  по реда на чл. 70-72  от ЗАНН и 3 предложения са на РП гр. Пазарджик по чл. 70-72 от ЗАНН. /таблица 1.в/. </w:t>
      </w:r>
    </w:p>
    <w:p w14:paraId="38904686"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предходната 2024 г. прокурорските актове до съда са били 5 броя. През 2023 г. – 9 броя. През 2022 – 11 броя.</w:t>
      </w:r>
    </w:p>
    <w:p w14:paraId="11EE64C4" w14:textId="77777777" w:rsidR="0072464D" w:rsidRDefault="0072464D" w:rsidP="003568C6">
      <w:pPr>
        <w:pStyle w:val="a4"/>
        <w:tabs>
          <w:tab w:val="left" w:pos="567"/>
        </w:tabs>
        <w:rPr>
          <w:rFonts w:ascii="Times New Roman" w:eastAsia="Cambria" w:hAnsi="Times New Roman" w:cs="Times New Roman"/>
          <w:b/>
          <w:color w:val="FF0000"/>
          <w:sz w:val="28"/>
          <w:szCs w:val="28"/>
        </w:rPr>
      </w:pPr>
    </w:p>
    <w:p w14:paraId="019C5DC4"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b/>
          <w:sz w:val="28"/>
        </w:rPr>
      </w:pPr>
      <w:r>
        <w:rPr>
          <w:rFonts w:ascii="Times New Roman" w:eastAsia="Cambria" w:hAnsi="Times New Roman" w:cs="Times New Roman"/>
          <w:b/>
          <w:sz w:val="28"/>
        </w:rPr>
        <w:t>Дейност на Окръжна прокуратура Пазарджик и районните прокуратури по надзора за законност в защита на обществения интерес и правата на гражданите.</w:t>
      </w:r>
    </w:p>
    <w:p w14:paraId="66C5E245"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p>
    <w:p w14:paraId="50866881"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u w:val="single"/>
        </w:rPr>
      </w:pPr>
      <w:r>
        <w:rPr>
          <w:rFonts w:ascii="Times New Roman" w:eastAsia="Cambria" w:hAnsi="Times New Roman" w:cs="Times New Roman"/>
          <w:sz w:val="28"/>
          <w:u w:val="single"/>
        </w:rPr>
        <w:t>Организация, обем и основни области.</w:t>
      </w:r>
    </w:p>
    <w:p w14:paraId="4F63F055"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2025 г.  прокурорите от ОП Пазарджик и РП в региона са изпълнявали стриктно задълженията си по надзора за законност в защита на обществения интерес и правата на гражданите. Във всяка прокуратура имаше създадена организация, която се осъществяваше от прокурорите от Административния отдел на ОП Пазарджик, в РП в региона от отговорниците по надзора по одобрен годишен план и по задачи, сведени от ВП на РБългария и АП Пловдив. През годината прокурорите са осъществявали постоянен текущ надзор за законност върху дейността и актовете на редица административни органи в региона, като кметове на общини, общински съвети и администрации. Създадена е и организация по въвеждане в действие на Методиката за взаимодействие на Прокуратурата с контролните органи при противодействие на закононарушенията и престъпленията в защита на обществения интерес и правата на Гражданите.</w:t>
      </w:r>
    </w:p>
    <w:p w14:paraId="4807D40E"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2025 г. общият брой на получените и образувани преписки за региона по този надзор са 222. От тях по инициатива на прокурор са 173, а по искане на граждани и организации – 49. Решените преписки са 212. От тях решени по същество – 201, а 11 преписки са изпратени по компетентност.</w:t>
      </w:r>
    </w:p>
    <w:p w14:paraId="6F5EFB7E"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предходните години общият брой на преписките са били за 2024 г. – 281. През 2023 г. – 241, през 2022 г. – 287. Данните за 2025 г. сочат за намаление спрямо предходните години. Разликите с предходните години зависят от естеството на дейност на общинските администрации и общинските съвети, проведените заседания, приетите решения, издадените заповеди и други индивидуални административни актове на кметове, областен управител и други административни органи,  както и постъпилите сигнали от граждани и организации.</w:t>
      </w:r>
    </w:p>
    <w:p w14:paraId="29E30BE2" w14:textId="77777777" w:rsidR="00EC1E22" w:rsidRDefault="00EC1E22" w:rsidP="003568C6">
      <w:pPr>
        <w:pStyle w:val="a4"/>
        <w:tabs>
          <w:tab w:val="left" w:pos="567"/>
        </w:tabs>
        <w:rPr>
          <w:rFonts w:ascii="Times New Roman" w:eastAsia="Cambria" w:hAnsi="Times New Roman" w:cs="Times New Roman"/>
          <w:b/>
          <w:color w:val="FF0000"/>
          <w:sz w:val="28"/>
          <w:szCs w:val="28"/>
        </w:rPr>
      </w:pPr>
    </w:p>
    <w:p w14:paraId="064BA15D"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u w:val="single"/>
        </w:rPr>
      </w:pPr>
      <w:r>
        <w:rPr>
          <w:rFonts w:ascii="Times New Roman" w:eastAsia="Cambria" w:hAnsi="Times New Roman" w:cs="Times New Roman"/>
          <w:sz w:val="28"/>
          <w:u w:val="single"/>
        </w:rPr>
        <w:lastRenderedPageBreak/>
        <w:t>Анализ на резултатите от дейността по надзора за законност.</w:t>
      </w:r>
    </w:p>
    <w:p w14:paraId="1E7A3279"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През 2025 г. при извършените проверки по реда на надзора за законност, прокурорите са констатирали 1 нарушение в работата на административните органи по прилагането на закона, за което са отреагирали с издаването на 1 предложение по реда на чл. 145 ал. 1 т. 6 от </w:t>
      </w:r>
      <w:proofErr w:type="spellStart"/>
      <w:r>
        <w:rPr>
          <w:rFonts w:ascii="Times New Roman" w:eastAsia="Cambria" w:hAnsi="Times New Roman" w:cs="Times New Roman"/>
          <w:sz w:val="28"/>
        </w:rPr>
        <w:t>ЗСВласт</w:t>
      </w:r>
      <w:proofErr w:type="spellEnd"/>
      <w:r>
        <w:rPr>
          <w:rFonts w:ascii="Times New Roman" w:eastAsia="Cambria" w:hAnsi="Times New Roman" w:cs="Times New Roman"/>
          <w:sz w:val="28"/>
        </w:rPr>
        <w:t xml:space="preserve"> до ръководителя на съответния административен орган за отстраняване на нарушението.</w:t>
      </w:r>
    </w:p>
    <w:p w14:paraId="50EEFC96"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Предложението е уважено.</w:t>
      </w:r>
    </w:p>
    <w:p w14:paraId="7B5CDBE8"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Предложения по чл. 99 и чл. 102 от АПК през годината не са издавани.</w:t>
      </w:r>
    </w:p>
    <w:p w14:paraId="346D562F"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 xml:space="preserve">През 2024 г. сигналите и предложенията са били 6. През 2023 г. – 18 сигнала и 7 протеста. През 2022 г. – 14 сигнала и 12 протеста. </w:t>
      </w:r>
    </w:p>
    <w:p w14:paraId="61900923"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Всички задачи по плана на ОП Пазарджик, възложените от АП  Пловдив и от ВАП на РБългария по този надзор през годината са изпълнени в срок.</w:t>
      </w:r>
    </w:p>
    <w:p w14:paraId="6DBB692A"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p>
    <w:p w14:paraId="49BE6E36"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u w:val="single"/>
        </w:rPr>
      </w:pPr>
      <w:r>
        <w:rPr>
          <w:rFonts w:ascii="Times New Roman" w:eastAsia="Cambria" w:hAnsi="Times New Roman" w:cs="Times New Roman"/>
          <w:sz w:val="28"/>
          <w:u w:val="single"/>
        </w:rPr>
        <w:t>Приоритети в дейността на административно-съдебния надзор за законност през 2026 г., проблеми в дейността и предложения за тяхното отстраняване.</w:t>
      </w:r>
    </w:p>
    <w:p w14:paraId="2996F47F"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rPr>
      </w:pPr>
      <w:r>
        <w:rPr>
          <w:rFonts w:ascii="Times New Roman" w:eastAsia="Cambria" w:hAnsi="Times New Roman" w:cs="Times New Roman"/>
          <w:sz w:val="28"/>
        </w:rPr>
        <w:t>През 2026 г. ще продължи взаимодействието на Окръжна прокуратура Пазарджик и Районна прокуратура Пазарджик с териториалните отделения по места с контролните органи за противодействие на закононарушенията и престъпленията в защита на обществения интерес и правата на гражданите. Ще продължат проверките свързани с постоянния, текущ надзор за законност на административните актове на общинските администрации и областната управа по ЗМСМА, ЗОС, ЗОП, ЗА и др. Прокурорите ще продължат да изпълняват задълженията си, произтичащи от Конституцията на РБългария, законите на страната и указанията на по-</w:t>
      </w:r>
      <w:proofErr w:type="spellStart"/>
      <w:r>
        <w:rPr>
          <w:rFonts w:ascii="Times New Roman" w:eastAsia="Cambria" w:hAnsi="Times New Roman" w:cs="Times New Roman"/>
          <w:sz w:val="28"/>
        </w:rPr>
        <w:t>горестоящите</w:t>
      </w:r>
      <w:proofErr w:type="spellEnd"/>
      <w:r>
        <w:rPr>
          <w:rFonts w:ascii="Times New Roman" w:eastAsia="Cambria" w:hAnsi="Times New Roman" w:cs="Times New Roman"/>
          <w:sz w:val="28"/>
        </w:rPr>
        <w:t xml:space="preserve"> прокуратури, въпреки, че с изменението на Конституцията на РБългария ДВ бр. 106/22.12.2023 г. правомощията им бяха ограничени.</w:t>
      </w:r>
    </w:p>
    <w:p w14:paraId="1F2E6EAD" w14:textId="77777777" w:rsidR="00EC1E22" w:rsidRDefault="00EC1E22" w:rsidP="00EC1E22">
      <w:pPr>
        <w:tabs>
          <w:tab w:val="left" w:pos="426"/>
        </w:tabs>
        <w:suppressAutoHyphens/>
        <w:spacing w:after="0" w:line="240" w:lineRule="auto"/>
        <w:ind w:left="-567" w:firstLine="567"/>
        <w:jc w:val="both"/>
        <w:rPr>
          <w:rFonts w:ascii="Times New Roman" w:eastAsia="Times New Roman" w:hAnsi="Times New Roman" w:cs="Times New Roman"/>
          <w:color w:val="FF0000"/>
          <w:sz w:val="28"/>
          <w:szCs w:val="28"/>
          <w:lang w:eastAsia="ar-SA"/>
        </w:rPr>
      </w:pPr>
    </w:p>
    <w:p w14:paraId="5358A1B6" w14:textId="77777777" w:rsidR="00EC1E22" w:rsidRDefault="00EC1E22" w:rsidP="00EC1E22">
      <w:pPr>
        <w:tabs>
          <w:tab w:val="left" w:pos="426"/>
        </w:tabs>
        <w:suppressAutoHyphens/>
        <w:spacing w:after="0" w:line="240" w:lineRule="auto"/>
        <w:ind w:left="-567" w:right="-427" w:firstLine="567"/>
        <w:jc w:val="both"/>
        <w:rPr>
          <w:rFonts w:ascii="Times New Roman" w:eastAsia="Times New Roman" w:hAnsi="Times New Roman" w:cs="Times New Roman"/>
          <w:color w:val="FF0000"/>
          <w:sz w:val="28"/>
          <w:szCs w:val="28"/>
          <w:lang w:eastAsia="ar-SA"/>
        </w:rPr>
      </w:pPr>
    </w:p>
    <w:p w14:paraId="0A40AC2C" w14:textId="77777777" w:rsidR="00EC1E22" w:rsidRDefault="00EC1E22" w:rsidP="00EC1E22">
      <w:pPr>
        <w:tabs>
          <w:tab w:val="left" w:pos="0"/>
        </w:tabs>
        <w:suppressAutoHyphens/>
        <w:spacing w:after="0" w:line="240" w:lineRule="auto"/>
        <w:ind w:left="-567" w:right="-427" w:firstLine="567"/>
        <w:jc w:val="center"/>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 xml:space="preserve">РАЗДЕЛ </w:t>
      </w:r>
      <w:r>
        <w:rPr>
          <w:rFonts w:ascii="Times New Roman" w:eastAsia="Cambria" w:hAnsi="Times New Roman" w:cs="Times New Roman"/>
          <w:b/>
          <w:color w:val="000000" w:themeColor="text1"/>
          <w:sz w:val="28"/>
          <w:szCs w:val="28"/>
          <w:lang w:val="en-US"/>
        </w:rPr>
        <w:t>VI</w:t>
      </w:r>
      <w:r>
        <w:rPr>
          <w:rFonts w:ascii="Times New Roman" w:eastAsia="Cambria" w:hAnsi="Times New Roman" w:cs="Times New Roman"/>
          <w:b/>
          <w:color w:val="000000" w:themeColor="text1"/>
          <w:sz w:val="28"/>
          <w:szCs w:val="28"/>
        </w:rPr>
        <w:t>. МЕЖДУНАРОДНО-ПРАВНО СЪТРУДНИЧЕСТВО</w:t>
      </w:r>
    </w:p>
    <w:p w14:paraId="6E19BA6C" w14:textId="77777777" w:rsidR="00EC1E22" w:rsidRDefault="00EC1E22" w:rsidP="00EC1E22">
      <w:pPr>
        <w:tabs>
          <w:tab w:val="left" w:pos="0"/>
        </w:tabs>
        <w:suppressAutoHyphens/>
        <w:spacing w:after="0" w:line="240" w:lineRule="auto"/>
        <w:ind w:left="-567" w:right="-427" w:firstLine="567"/>
        <w:jc w:val="center"/>
        <w:rPr>
          <w:rFonts w:ascii="Times New Roman" w:eastAsia="Cambria" w:hAnsi="Times New Roman" w:cs="Times New Roman"/>
          <w:b/>
          <w:color w:val="FF0000"/>
          <w:sz w:val="28"/>
          <w:szCs w:val="28"/>
        </w:rPr>
      </w:pPr>
    </w:p>
    <w:p w14:paraId="6C11A20A" w14:textId="77777777" w:rsidR="00EC1E22" w:rsidRDefault="00EC1E22" w:rsidP="00EC1E22">
      <w:pPr>
        <w:tabs>
          <w:tab w:val="left" w:pos="0"/>
        </w:tabs>
        <w:suppressAutoHyphens/>
        <w:spacing w:after="0" w:line="240" w:lineRule="auto"/>
        <w:ind w:left="-567" w:right="-427" w:firstLine="567"/>
        <w:jc w:val="center"/>
        <w:rPr>
          <w:rFonts w:ascii="Times New Roman" w:eastAsia="Cambria" w:hAnsi="Times New Roman" w:cs="Times New Roman"/>
          <w:b/>
          <w:color w:val="FF0000"/>
          <w:sz w:val="28"/>
          <w:szCs w:val="28"/>
        </w:rPr>
      </w:pPr>
    </w:p>
    <w:p w14:paraId="7B824D8B" w14:textId="77777777" w:rsidR="00EC1E22" w:rsidRDefault="00EC1E22" w:rsidP="00EC1E22">
      <w:pPr>
        <w:pStyle w:val="11"/>
        <w:tabs>
          <w:tab w:val="left" w:pos="426"/>
        </w:tabs>
        <w:ind w:left="-567" w:right="-427" w:firstLine="567"/>
        <w:jc w:val="both"/>
        <w:rPr>
          <w:rFonts w:ascii="Times New Roman" w:hAnsi="Times New Roman" w:cs="Times New Roman"/>
        </w:rPr>
      </w:pPr>
      <w:r>
        <w:rPr>
          <w:rFonts w:ascii="Times New Roman" w:hAnsi="Times New Roman" w:cs="Times New Roman"/>
        </w:rPr>
        <w:t>През отчетната 2025г. по делата с международен елемент в региона на Окръжна прокуратура Пазарджик продължава да съществува изключително добра организация, осигуряваща произнасянето в кратки срокове. Прокурорите спазват указанията на отдел „Международен” при Върховна касационна прокуратура и съобразяват в пряката си работа международните актове, обнародвани и влезли в сила, по които Република България е страна.</w:t>
      </w:r>
    </w:p>
    <w:p w14:paraId="50E5CDB3"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През отчетната 2025г. международното сътрудничество по наказателни дела на прокурорите от Съдебен район Пазарджик се осъществява предимно с  магистратите от другите държави - членки на Европейския съюз. </w:t>
      </w:r>
    </w:p>
    <w:p w14:paraId="1B111DC7"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Основната дейност по международното правно сътрудничество се осъществява въз основа на Конвенцията за взаимопомощ по наказателни дела, между държавите-членки на Европейския съюз от 29 май 2000 г., съставена от Съвета в съответствие с чл. 34 от Договора за Европейския съюз, както и Европейската конвенция за взаимопомощ по наказателноправни въпроси от 1959 г., </w:t>
      </w:r>
      <w:r>
        <w:rPr>
          <w:rFonts w:ascii="Times New Roman" w:eastAsia="Cambria" w:hAnsi="Times New Roman"/>
          <w:sz w:val="28"/>
          <w:szCs w:val="28"/>
        </w:rPr>
        <w:lastRenderedPageBreak/>
        <w:t xml:space="preserve">а също и въз основа на националното ни законодателство – НПК, ЗЕЗР, ЗЕЕЗА и др. </w:t>
      </w:r>
    </w:p>
    <w:p w14:paraId="7AB01549"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Преписките с международен елемент общо за изминалата 2025г. за района са 280 бр. при 248 бр. за 2024г и 184 за 2023г.</w:t>
      </w:r>
    </w:p>
    <w:p w14:paraId="502D81FC"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p>
    <w:p w14:paraId="7CE0931C"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Международното сътрудничество по наказателни дела се осъществява в няколко аспекта:</w:t>
      </w:r>
    </w:p>
    <w:p w14:paraId="4E788EF5"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p>
    <w:p w14:paraId="02113B87" w14:textId="77777777" w:rsidR="00EC1E22" w:rsidRDefault="00EC1E22" w:rsidP="00EC1E22">
      <w:pPr>
        <w:pStyle w:val="aa"/>
        <w:numPr>
          <w:ilvl w:val="0"/>
          <w:numId w:val="40"/>
        </w:numPr>
        <w:tabs>
          <w:tab w:val="left" w:pos="284"/>
          <w:tab w:val="left" w:pos="426"/>
          <w:tab w:val="left" w:pos="851"/>
          <w:tab w:val="left" w:pos="993"/>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Молби за Международна правна помощ.</w:t>
      </w:r>
    </w:p>
    <w:p w14:paraId="6A255A72"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p>
    <w:p w14:paraId="360BAE4B"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1.1. Изходящи молби за правна помощ</w:t>
      </w:r>
    </w:p>
    <w:p w14:paraId="792A4CC8"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През 2025г. в района на Окръжна прокуратура Пазарджик са издадени общо 21 молби за правна помощ – 3 бр. от Окръжна прокуратура и 18 бр. от Районна прокуратура.</w:t>
      </w:r>
    </w:p>
    <w:p w14:paraId="66D0972E"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За сравнение, през 2024г. в района на Окръжна прокуратура Пазарджик са издадени общо 7 молби за правна помощ, а през 2023г. – 4 бр., а е  2022 г. издадените  молби за правна помощ са 5. </w:t>
      </w:r>
    </w:p>
    <w:p w14:paraId="6B44A9BB" w14:textId="77777777" w:rsidR="00EC1E22" w:rsidRDefault="00EC1E22" w:rsidP="00EC1E22">
      <w:pPr>
        <w:autoSpaceDN w:val="0"/>
        <w:ind w:left="-567" w:right="-426" w:firstLine="567"/>
        <w:jc w:val="both"/>
        <w:textAlignment w:val="baseline"/>
        <w:rPr>
          <w:rFonts w:ascii="Times New Roman" w:eastAsia="Times New Roman" w:hAnsi="Times New Roman"/>
          <w:sz w:val="28"/>
          <w:szCs w:val="28"/>
        </w:rPr>
      </w:pPr>
      <w:r>
        <w:rPr>
          <w:rFonts w:ascii="Times New Roman" w:eastAsia="Cambria" w:hAnsi="Times New Roman"/>
          <w:sz w:val="28"/>
          <w:szCs w:val="28"/>
        </w:rPr>
        <w:t>От така издадените през 2025г. от ОП – Пазарджик 3 изходящи молби  за правна помощ, 2 бр. са изпълнени и 1 бр. не е изпълнена.</w:t>
      </w:r>
      <w:r>
        <w:rPr>
          <w:rFonts w:ascii="Times New Roman" w:eastAsia="Cambria" w:hAnsi="Times New Roman"/>
          <w:color w:val="FF0000"/>
          <w:sz w:val="28"/>
          <w:szCs w:val="28"/>
        </w:rPr>
        <w:t xml:space="preserve"> </w:t>
      </w:r>
      <w:r>
        <w:rPr>
          <w:rFonts w:ascii="Times New Roman" w:eastAsia="Cambria" w:hAnsi="Times New Roman"/>
          <w:sz w:val="28"/>
          <w:szCs w:val="28"/>
        </w:rPr>
        <w:t xml:space="preserve">В РП – Пазарджик от изходящите 18 бр. са били изпълнени само 2 </w:t>
      </w:r>
      <w:r>
        <w:rPr>
          <w:rFonts w:ascii="Times New Roman" w:eastAsia="Times New Roman" w:hAnsi="Times New Roman"/>
          <w:sz w:val="28"/>
          <w:szCs w:val="28"/>
        </w:rPr>
        <w:t xml:space="preserve">бр. до момента,  по останалите 16 бр. се чака изпълнението им. </w:t>
      </w:r>
    </w:p>
    <w:p w14:paraId="44306BF6"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 xml:space="preserve">1.2. Изпълнение на молби за международно правна помощ по наказателни дела на друга държава (от страни членки на ЕС и страни извън ЕС) – връчване на книжа и международен обмен на информация  /чл. 471 и сл. от НПК/. </w:t>
      </w:r>
    </w:p>
    <w:p w14:paraId="10AA8E1E" w14:textId="77777777" w:rsidR="00EC1E22" w:rsidRDefault="00EC1E22" w:rsidP="00EC1E22">
      <w:pPr>
        <w:tabs>
          <w:tab w:val="left" w:pos="426"/>
        </w:tabs>
        <w:spacing w:after="0" w:line="240" w:lineRule="auto"/>
        <w:ind w:left="-567" w:right="-427" w:firstLine="567"/>
        <w:jc w:val="both"/>
        <w:rPr>
          <w:rFonts w:ascii="Times New Roman" w:eastAsia="Cambria" w:hAnsi="Times New Roman"/>
          <w:spacing w:val="-5"/>
          <w:sz w:val="28"/>
          <w:szCs w:val="28"/>
        </w:rPr>
      </w:pPr>
      <w:r>
        <w:rPr>
          <w:rFonts w:ascii="Times New Roman" w:eastAsia="Cambria" w:hAnsi="Times New Roman"/>
          <w:sz w:val="28"/>
          <w:szCs w:val="28"/>
        </w:rPr>
        <w:t>За района на Окръжна прокуратура Пазарджик, през 2025 г. са получени общо 86 бр. входящи молби за правна помощ. За сравнение през 2024г. те са били 96 бр., за 2023г. са  получени общо 48 бр., а през 2022г. са били 26 бр. входящи молби за правна помощ.</w:t>
      </w:r>
    </w:p>
    <w:p w14:paraId="7A1ACEE4" w14:textId="77777777" w:rsidR="00EC1E22" w:rsidRDefault="00EC1E22" w:rsidP="00EC1E22">
      <w:pPr>
        <w:tabs>
          <w:tab w:val="left" w:pos="426"/>
          <w:tab w:val="left" w:pos="993"/>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От посочения общ брой, в Окръжна прокуратура Пазарджик са получени за изпълнение 82 молби за правна помощ, от които значителна част са за връчване на документи. От тях 5 бр. са били изпратени по компетентност на други органи на съдебната власт, приети за изпълнение са 77 молби за правна помощ, от които 37 са изпълнени, 9 бр. са в процес на изпълнение, а 31 не са изпълнени поради това, че не са издирени лицата, за които се отнасят. За сравнение, през 2024г. са били получени 90 бр., през 2023г. - 48 бр., а през 2022г. -  26бр.</w:t>
      </w:r>
    </w:p>
    <w:p w14:paraId="717FF14B"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В  Районна прокуратура Пазарджик и териториалните отделения към тях са получени за изпълнение 4 входящи молби за правна помощ. За сравнение през 2024г. са били 6 бр., а за 2023г. - 19 бр. </w:t>
      </w:r>
    </w:p>
    <w:p w14:paraId="5458BCCF"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sz w:val="28"/>
          <w:szCs w:val="28"/>
        </w:rPr>
      </w:pPr>
      <w:r>
        <w:rPr>
          <w:rFonts w:ascii="Times New Roman" w:eastAsia="Cambria" w:hAnsi="Times New Roman"/>
          <w:sz w:val="28"/>
          <w:szCs w:val="28"/>
        </w:rPr>
        <w:t>От общо входящите 4 бр. молби за правна помощ в РП - Пазарджик са били изпълнени 3 бр., а</w:t>
      </w:r>
      <w:r>
        <w:rPr>
          <w:rFonts w:ascii="Times New Roman" w:eastAsia="Times New Roman" w:hAnsi="Times New Roman"/>
          <w:sz w:val="28"/>
          <w:szCs w:val="28"/>
        </w:rPr>
        <w:t xml:space="preserve"> една е изпратена по компетентност на ОП – Пазарджик. </w:t>
      </w:r>
    </w:p>
    <w:p w14:paraId="6B50470F"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Съпоставката по години сочи, че през 2025г. има много малко намаляване на броя на  молбите за правна помощ,  на фона на значителното увеличение преди това през последните няколко години, въпреки че отделно се използват и ЕЗР. </w:t>
      </w:r>
      <w:r>
        <w:rPr>
          <w:rFonts w:ascii="Times New Roman" w:eastAsia="Cambria" w:hAnsi="Times New Roman"/>
          <w:sz w:val="28"/>
          <w:szCs w:val="28"/>
        </w:rPr>
        <w:lastRenderedPageBreak/>
        <w:t>Следва да се отбележи, че м</w:t>
      </w:r>
      <w:r>
        <w:rPr>
          <w:rFonts w:ascii="Times New Roman" w:eastAsia="Cambria" w:hAnsi="Times New Roman"/>
          <w:spacing w:val="-5"/>
          <w:sz w:val="28"/>
          <w:szCs w:val="28"/>
        </w:rPr>
        <w:t xml:space="preserve">олбите за правна помощ, както и ЕЗР се изпълняват качествено и във възможно най-кратки срокове.   </w:t>
      </w:r>
    </w:p>
    <w:p w14:paraId="01C2FFF1" w14:textId="77777777" w:rsidR="00EC1E22" w:rsidRDefault="00EC1E22" w:rsidP="00EC1E22">
      <w:pPr>
        <w:tabs>
          <w:tab w:val="left" w:pos="426"/>
        </w:tabs>
        <w:spacing w:after="0" w:line="240" w:lineRule="auto"/>
        <w:ind w:left="-567" w:right="-427" w:firstLine="567"/>
        <w:jc w:val="both"/>
        <w:rPr>
          <w:rFonts w:ascii="Times New Roman" w:eastAsia="Cambria" w:hAnsi="Times New Roman"/>
          <w:spacing w:val="-5"/>
          <w:sz w:val="28"/>
          <w:szCs w:val="28"/>
        </w:rPr>
      </w:pPr>
    </w:p>
    <w:p w14:paraId="30E16CD6" w14:textId="77777777" w:rsidR="00EC1E22" w:rsidRDefault="00EC1E22" w:rsidP="00EC1E22">
      <w:pPr>
        <w:pStyle w:val="aa"/>
        <w:tabs>
          <w:tab w:val="left" w:pos="426"/>
          <w:tab w:val="left" w:pos="851"/>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2. Европейски заповеди за разследване (ЕЗР). </w:t>
      </w:r>
    </w:p>
    <w:p w14:paraId="53190EA2" w14:textId="77777777" w:rsidR="00EC1E22" w:rsidRDefault="00EC1E22" w:rsidP="00EC1E22">
      <w:pPr>
        <w:pStyle w:val="aa"/>
        <w:tabs>
          <w:tab w:val="left" w:pos="426"/>
          <w:tab w:val="left" w:pos="851"/>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2.1. ЕЗР, издадени от магистратите в Окръжна прокуратура Пазарджик и Районна прокуратура Пазарджик с териториалните отделения към нея в Пазарджишки съдебен район до компетентните органи в страни - членки на Европейския съюз - чл. 5 и сл. от ЗЕЗР.  </w:t>
      </w:r>
    </w:p>
    <w:p w14:paraId="035332E0" w14:textId="77777777" w:rsidR="00EC1E22" w:rsidRDefault="00EC1E22" w:rsidP="00EC1E22">
      <w:pPr>
        <w:pStyle w:val="aa"/>
        <w:tabs>
          <w:tab w:val="left" w:pos="426"/>
        </w:tabs>
        <w:suppressAutoHyphens/>
        <w:spacing w:after="0" w:line="240" w:lineRule="auto"/>
        <w:ind w:left="-567" w:right="-427" w:firstLine="567"/>
        <w:jc w:val="both"/>
        <w:rPr>
          <w:rFonts w:ascii="Times New Roman" w:eastAsia="Cambria" w:hAnsi="Times New Roman" w:cs="Times New Roman"/>
          <w:b/>
          <w:sz w:val="16"/>
          <w:szCs w:val="16"/>
        </w:rPr>
      </w:pPr>
    </w:p>
    <w:p w14:paraId="29D35C92"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През 2025г. в Пазарджишки съдебен район са били издадени общо 19 ЕЗР.  За сравнение издадените през 2024г. са били 16 бр., през 2023г. също 16 ЕЗР.</w:t>
      </w:r>
    </w:p>
    <w:p w14:paraId="2C93126D"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За отделните прокуратури издадените ЕЗР са както следва: </w:t>
      </w:r>
    </w:p>
    <w:p w14:paraId="2136B1B9"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t xml:space="preserve">В Окръжна прокуратура - Пазарджик през 2025г. са били издадени 5 ЕЗР. За сравнение през 2024г. са били издадени 2 ЕЗР, при 5 ЕЗР за 2023г. </w:t>
      </w:r>
    </w:p>
    <w:p w14:paraId="4A4CBCAE"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t xml:space="preserve">Останалите 14 ЕЗР са били издадени от Районна прокуратура – Пазарджик, включително и териториалните отделения към нея. </w:t>
      </w:r>
    </w:p>
    <w:p w14:paraId="7CEF3B12"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От общо издадените 19 ЕЗР през 2025г., са били изпълнени както следва: </w:t>
      </w:r>
    </w:p>
    <w:p w14:paraId="00BA15E8"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За ОП – 3 бр. изпълнени ЕЗР и 2 бр. неизпълнена</w:t>
      </w:r>
      <w:r>
        <w:rPr>
          <w:rFonts w:ascii="Times New Roman" w:eastAsia="Times New Roman" w:hAnsi="Times New Roman"/>
          <w:sz w:val="28"/>
          <w:szCs w:val="28"/>
        </w:rPr>
        <w:t>, за РП и ТО – 5 бр. от издадените ЕЗР са били изпълнени, станалите 9 са в процес на изпълнение.</w:t>
      </w:r>
      <w:r>
        <w:rPr>
          <w:rFonts w:ascii="Times New Roman" w:eastAsia="Cambria" w:hAnsi="Times New Roman"/>
          <w:sz w:val="28"/>
          <w:szCs w:val="28"/>
        </w:rPr>
        <w:t xml:space="preserve"> </w:t>
      </w:r>
    </w:p>
    <w:p w14:paraId="7DE71C33"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Тенденцията е прокурорите все по-често да прилагат този механизъм за международно правно сътрудничество между страните – членки на ЕС.</w:t>
      </w:r>
    </w:p>
    <w:p w14:paraId="2631D634"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u w:val="single"/>
        </w:rPr>
      </w:pPr>
    </w:p>
    <w:p w14:paraId="60F349B4"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 xml:space="preserve">2.2.Изпълнение на ЕЗР от прокурорите от Пазарджишки съдебен район по ЗЕЗР. </w:t>
      </w:r>
    </w:p>
    <w:p w14:paraId="705F5CCC" w14:textId="77777777" w:rsidR="00EC1E22" w:rsidRDefault="00EC1E22" w:rsidP="00EC1E22">
      <w:pPr>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t>В Окръжна прокуратура Пазарджик, като компетентен орган по чл.9, ал.,1, т.1 от ЗЕЗР, през 2025г. са били получени за изпълнение общо 5</w:t>
      </w:r>
      <w:r>
        <w:rPr>
          <w:rFonts w:ascii="Times New Roman" w:eastAsia="Cambria" w:hAnsi="Times New Roman"/>
          <w:color w:val="FF0000"/>
          <w:sz w:val="28"/>
          <w:szCs w:val="28"/>
          <w:shd w:val="clear" w:color="auto" w:fill="FFFFFF"/>
        </w:rPr>
        <w:t xml:space="preserve"> </w:t>
      </w:r>
      <w:r>
        <w:rPr>
          <w:rFonts w:ascii="Times New Roman" w:eastAsia="Cambria" w:hAnsi="Times New Roman"/>
          <w:sz w:val="28"/>
          <w:szCs w:val="28"/>
          <w:shd w:val="clear" w:color="auto" w:fill="FFFFFF"/>
        </w:rPr>
        <w:t xml:space="preserve">бр. От тях са били изпълнени 3 бр. ЕЗР, 1 бр. е отказана и не е изпълнена и 1 бр. е в процес  на изпълнение. Освен това в </w:t>
      </w:r>
      <w:r>
        <w:rPr>
          <w:rFonts w:ascii="Times New Roman" w:eastAsia="Times New Roman" w:hAnsi="Times New Roman"/>
          <w:sz w:val="28"/>
          <w:szCs w:val="28"/>
        </w:rPr>
        <w:t>Районна прокуратура – Пазарджик е получена 1 бр. входяща ЕЗР, която е била изпълнена.</w:t>
      </w:r>
    </w:p>
    <w:p w14:paraId="1577F938"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t>За сравнение за 2024г. входящите ЕЗР са били 14, а за 2023г. - 13 бр.</w:t>
      </w:r>
    </w:p>
    <w:p w14:paraId="36A09D9B" w14:textId="77777777" w:rsidR="00EC1E22" w:rsidRDefault="00EC1E22" w:rsidP="00EC1E22">
      <w:pPr>
        <w:tabs>
          <w:tab w:val="left" w:pos="426"/>
        </w:tabs>
        <w:spacing w:after="0" w:line="240" w:lineRule="auto"/>
        <w:ind w:left="-567" w:right="-426" w:firstLine="567"/>
        <w:jc w:val="both"/>
        <w:rPr>
          <w:rFonts w:ascii="Times New Roman" w:eastAsia="Cambria" w:hAnsi="Times New Roman"/>
          <w:sz w:val="28"/>
          <w:szCs w:val="28"/>
          <w:shd w:val="clear" w:color="auto" w:fill="FFFFFF"/>
        </w:rPr>
      </w:pPr>
    </w:p>
    <w:p w14:paraId="4ACB08FE"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b/>
          <w:sz w:val="28"/>
          <w:szCs w:val="28"/>
        </w:rPr>
        <w:t xml:space="preserve">3. Европейски заповеди за арест (ЕЗА). </w:t>
      </w:r>
    </w:p>
    <w:p w14:paraId="6A24CF43"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 xml:space="preserve">3.1. Европейски заповеди за арест (ЕЗА), издадени от магистратите в Окръжна и Районни прокуратури на пазарджишки съдебен район до магистрати и полицейски органи в страни-членки на Европейския съюз - чл.56 и сл. от ЗЕЕЗА. </w:t>
      </w:r>
    </w:p>
    <w:p w14:paraId="21303920"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През 2025г. в Пазарджишки съдебен район са били издадени общо 2 бр. ЕЗА, като и двете са били от РП – Пазарджик. </w:t>
      </w:r>
    </w:p>
    <w:p w14:paraId="520C36CC"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За сравнение през. 2024 г. са били издадени общо 3 ЕЗА, а през 2023г. 5  ЕЗА. </w:t>
      </w:r>
    </w:p>
    <w:p w14:paraId="399F1676"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u w:val="single"/>
        </w:rPr>
      </w:pPr>
    </w:p>
    <w:p w14:paraId="272D8B5B"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 xml:space="preserve">3.2. Изпълнение на ЕЗА и производства по екстрадиции от прокурорите от Пазарджишки съдебен район по ЗЕЕЗА. </w:t>
      </w:r>
    </w:p>
    <w:p w14:paraId="1947D769"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t xml:space="preserve">В Окръжна прокуратура Пазарджик за 2025г. са получени за изпълнение 5 бр. ЕЗА, по които са били внесени искания в съда за образуване на производства по изпълнение на ЕЗА. За сравнение през 2024г. са получени за изпълнение 7 бр. ЕЗА, а през 2023г. са получени 5 входящи ЕЗА. </w:t>
      </w:r>
    </w:p>
    <w:p w14:paraId="741F9735"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lastRenderedPageBreak/>
        <w:t xml:space="preserve">Във връзка с изпълнението на посочените постъпили ЕЗА, са били задържани общо 4 лица. </w:t>
      </w:r>
    </w:p>
    <w:p w14:paraId="7AF8B1B4"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shd w:val="clear" w:color="auto" w:fill="FFFFFF"/>
        </w:rPr>
      </w:pPr>
      <w:r>
        <w:rPr>
          <w:rFonts w:ascii="Times New Roman" w:eastAsia="Cambria" w:hAnsi="Times New Roman"/>
          <w:sz w:val="28"/>
          <w:szCs w:val="28"/>
          <w:shd w:val="clear" w:color="auto" w:fill="FFFFFF"/>
        </w:rPr>
        <w:t xml:space="preserve">През изминалата 2025г., както и в предходните 2024г. и 2023г. не е имало входящи и изходящи молби за екстрадиция от държава извън ЕС. </w:t>
      </w:r>
    </w:p>
    <w:p w14:paraId="31C6447F"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shd w:val="clear" w:color="auto" w:fill="FFFFFF"/>
        </w:rPr>
      </w:pPr>
    </w:p>
    <w:p w14:paraId="1E3E8A97" w14:textId="77777777" w:rsidR="00EC1E22" w:rsidRDefault="00EC1E22" w:rsidP="00EC1E22">
      <w:pPr>
        <w:tabs>
          <w:tab w:val="left" w:pos="426"/>
          <w:tab w:val="left" w:pos="993"/>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 xml:space="preserve">4. Трансфери на производства по наказателни дела. </w:t>
      </w:r>
    </w:p>
    <w:p w14:paraId="60577D26"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u w:val="single"/>
        </w:rPr>
      </w:pPr>
    </w:p>
    <w:p w14:paraId="176900C9"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През отчетната 2025г. в района на Окръжна прокуратура Пазарджик е бил извършен общо 1 входящ трансфер на наказателно производство от  Районна прокуратура Пазарджик. </w:t>
      </w:r>
    </w:p>
    <w:p w14:paraId="324FDAAA"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За сравнение 2024г. общо са били извършени 2 входящи трансфера на наказателно производство, а през 2023г. общо 5.</w:t>
      </w:r>
    </w:p>
    <w:p w14:paraId="3C8475B6"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Изходящи трансфери не са били извършвани. </w:t>
      </w:r>
    </w:p>
    <w:p w14:paraId="40A4ABAC"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Трансфера като международно правен институт е по-рядко приложим. </w:t>
      </w:r>
    </w:p>
    <w:p w14:paraId="085AB630"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p>
    <w:p w14:paraId="1B0BF49B"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 xml:space="preserve">5. Решения по субсидиарна компетентност. Консултации по чл.483- 484 от НПК. </w:t>
      </w:r>
    </w:p>
    <w:p w14:paraId="34B39562"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В района на ОП – Пазарджик не са били провеждани производства по раздел V от НПК относно решения за субсидиарна компетентност по чл.480 и за провеждане на консултации и решения по 483 – 484 от НПК . </w:t>
      </w:r>
    </w:p>
    <w:p w14:paraId="6876977B"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p>
    <w:p w14:paraId="289E4372" w14:textId="77777777" w:rsidR="00EC1E22" w:rsidRDefault="00EC1E22" w:rsidP="00EC1E22">
      <w:pPr>
        <w:pStyle w:val="aa"/>
        <w:tabs>
          <w:tab w:val="left" w:pos="426"/>
          <w:tab w:val="left" w:pos="993"/>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6. Признаване на присъди и на други чужди актове.</w:t>
      </w:r>
    </w:p>
    <w:p w14:paraId="5A8E2642"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u w:val="single"/>
        </w:rPr>
      </w:pPr>
      <w:r>
        <w:rPr>
          <w:rFonts w:ascii="Times New Roman" w:eastAsia="Cambria" w:hAnsi="Times New Roman"/>
          <w:sz w:val="28"/>
          <w:szCs w:val="28"/>
          <w:u w:val="single"/>
        </w:rPr>
        <w:t xml:space="preserve"> </w:t>
      </w:r>
    </w:p>
    <w:p w14:paraId="1A5E9483"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b/>
          <w:sz w:val="28"/>
          <w:szCs w:val="28"/>
        </w:rPr>
        <w:t>6.1.</w:t>
      </w:r>
      <w:r>
        <w:rPr>
          <w:rFonts w:ascii="Times New Roman" w:eastAsia="Cambria" w:hAnsi="Times New Roman"/>
          <w:sz w:val="28"/>
          <w:szCs w:val="28"/>
        </w:rPr>
        <w:t xml:space="preserve"> През отчетната 2025г. е имало 2 производства съдебни производства за признаване на присъди от чужд съд, които са били признати по отношение на 2 лица. За сравнение през 2024г. е имало 6 съдебни производства за признаване на присъди от чужд съда, а през 2023г. е имало 3 такива производства.</w:t>
      </w:r>
    </w:p>
    <w:p w14:paraId="39741399"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p>
    <w:p w14:paraId="35209C4A" w14:textId="77777777" w:rsidR="00EC1E22" w:rsidRDefault="00EC1E22" w:rsidP="00EC1E22">
      <w:pPr>
        <w:tabs>
          <w:tab w:val="left" w:pos="426"/>
        </w:tabs>
        <w:spacing w:after="0" w:line="240" w:lineRule="auto"/>
        <w:ind w:left="-567" w:right="-427" w:firstLine="567"/>
        <w:jc w:val="both"/>
        <w:rPr>
          <w:rFonts w:ascii="Times New Roman" w:eastAsia="Cambria" w:hAnsi="Times New Roman"/>
          <w:b/>
          <w:sz w:val="28"/>
          <w:szCs w:val="28"/>
        </w:rPr>
      </w:pPr>
      <w:r>
        <w:rPr>
          <w:rFonts w:ascii="Times New Roman" w:eastAsia="Cambria" w:hAnsi="Times New Roman"/>
          <w:b/>
          <w:sz w:val="28"/>
          <w:szCs w:val="28"/>
        </w:rPr>
        <w:t xml:space="preserve">7. Участия в съдебни заседания по международно правно сътрудничество.  </w:t>
      </w:r>
    </w:p>
    <w:p w14:paraId="3F189634"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Общо всички участията по преписки на ОП – Пазарджик в съдебни заседания по </w:t>
      </w:r>
      <w:proofErr w:type="spellStart"/>
      <w:r>
        <w:rPr>
          <w:rFonts w:ascii="Times New Roman" w:eastAsia="Cambria" w:hAnsi="Times New Roman"/>
          <w:sz w:val="28"/>
          <w:szCs w:val="28"/>
        </w:rPr>
        <w:t>междунардно</w:t>
      </w:r>
      <w:proofErr w:type="spellEnd"/>
      <w:r>
        <w:rPr>
          <w:rFonts w:ascii="Times New Roman" w:eastAsia="Cambria" w:hAnsi="Times New Roman"/>
          <w:sz w:val="28"/>
          <w:szCs w:val="28"/>
        </w:rPr>
        <w:t xml:space="preserve"> правно сътрудничество са 189 бр.  Повечето от тях са били по </w:t>
      </w:r>
      <w:proofErr w:type="spellStart"/>
      <w:r>
        <w:rPr>
          <w:rFonts w:ascii="Times New Roman" w:eastAsia="Cambria" w:hAnsi="Times New Roman"/>
          <w:sz w:val="28"/>
          <w:szCs w:val="28"/>
        </w:rPr>
        <w:t>ЗПИКонфОтнНалФС</w:t>
      </w:r>
      <w:proofErr w:type="spellEnd"/>
      <w:r>
        <w:rPr>
          <w:rFonts w:ascii="Times New Roman" w:eastAsia="Cambria" w:hAnsi="Times New Roman"/>
          <w:sz w:val="28"/>
          <w:szCs w:val="28"/>
        </w:rPr>
        <w:t>.</w:t>
      </w:r>
    </w:p>
    <w:p w14:paraId="2D472222"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През 2025г. в Окръжна прокуратура Пазарджик са били образувани 174 броя преписки във връзка със съдебни производства по признаване и изпълнение на решения и други  актове на съдебни и несъдебни органи на държави - членки на ЕС по </w:t>
      </w:r>
      <w:proofErr w:type="spellStart"/>
      <w:r>
        <w:rPr>
          <w:rFonts w:ascii="Times New Roman" w:eastAsia="Cambria" w:hAnsi="Times New Roman"/>
          <w:sz w:val="28"/>
          <w:szCs w:val="28"/>
        </w:rPr>
        <w:t>ЗПИКонфОтнНалФС</w:t>
      </w:r>
      <w:proofErr w:type="spellEnd"/>
      <w:r>
        <w:rPr>
          <w:rFonts w:ascii="Times New Roman" w:eastAsia="Cambria" w:hAnsi="Times New Roman"/>
          <w:sz w:val="28"/>
          <w:szCs w:val="28"/>
        </w:rPr>
        <w:t>, отнасящи се до наложени финансови санкции на български граждани в чужбина. В тези съдебни производства са взели участия прокурори от Окръжна прокуратура Пазарджик.</w:t>
      </w:r>
    </w:p>
    <w:p w14:paraId="1CF532A4"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 xml:space="preserve">За сравнение, през 2024г. преписките по тези производства са били 151 бр.,  през 2023г. - 124 бр.  </w:t>
      </w:r>
    </w:p>
    <w:p w14:paraId="05A49194"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z w:val="28"/>
          <w:szCs w:val="28"/>
        </w:rPr>
        <w:t>Анализът на тези данни сочи, че през отчетния период отново е налице повишаване на преписките във връзка с производства за налагане на финансови санкции на български граждани в чужбина.</w:t>
      </w:r>
    </w:p>
    <w:p w14:paraId="15717FA2" w14:textId="77777777" w:rsidR="00EC1E22" w:rsidRDefault="00EC1E22" w:rsidP="00EC1E22">
      <w:pPr>
        <w:tabs>
          <w:tab w:val="left" w:pos="426"/>
        </w:tabs>
        <w:spacing w:after="0" w:line="240" w:lineRule="auto"/>
        <w:ind w:left="-567" w:right="-427" w:firstLine="567"/>
        <w:jc w:val="both"/>
        <w:rPr>
          <w:rFonts w:ascii="Times New Roman" w:eastAsia="Cambria" w:hAnsi="Times New Roman"/>
          <w:sz w:val="28"/>
          <w:szCs w:val="28"/>
        </w:rPr>
      </w:pPr>
      <w:r>
        <w:rPr>
          <w:rFonts w:ascii="Times New Roman" w:eastAsia="Cambria" w:hAnsi="Times New Roman"/>
          <w:spacing w:val="-5"/>
          <w:sz w:val="28"/>
          <w:szCs w:val="28"/>
        </w:rPr>
        <w:t xml:space="preserve">От значение за овладяването на правните </w:t>
      </w:r>
      <w:r>
        <w:rPr>
          <w:rFonts w:ascii="Times New Roman" w:eastAsia="Cambria" w:hAnsi="Times New Roman"/>
          <w:sz w:val="28"/>
          <w:szCs w:val="28"/>
        </w:rPr>
        <w:t xml:space="preserve">механизми и институти на международно правно сътрудничество е вътрешноведомствено обучение в тази насока, споделяне на натрупания опит, както и взаимодействието с прокурорите от </w:t>
      </w:r>
      <w:r>
        <w:rPr>
          <w:rFonts w:ascii="Times New Roman" w:eastAsia="Cambria" w:hAnsi="Times New Roman"/>
          <w:sz w:val="28"/>
          <w:szCs w:val="28"/>
        </w:rPr>
        <w:lastRenderedPageBreak/>
        <w:t xml:space="preserve">националната прокурорска мрежа за международно правно сътрудничество и с представителите ни в </w:t>
      </w:r>
      <w:proofErr w:type="spellStart"/>
      <w:r>
        <w:rPr>
          <w:rFonts w:ascii="Times New Roman" w:eastAsia="Cambria" w:hAnsi="Times New Roman"/>
          <w:sz w:val="28"/>
          <w:szCs w:val="28"/>
        </w:rPr>
        <w:t>Евроджъст</w:t>
      </w:r>
      <w:proofErr w:type="spellEnd"/>
      <w:r>
        <w:rPr>
          <w:rFonts w:ascii="Times New Roman" w:eastAsia="Cambria" w:hAnsi="Times New Roman"/>
          <w:sz w:val="28"/>
          <w:szCs w:val="28"/>
        </w:rPr>
        <w:t xml:space="preserve"> и международния отдел на ВКП. </w:t>
      </w:r>
    </w:p>
    <w:p w14:paraId="0738225C"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szCs w:val="28"/>
          <w:u w:val="single"/>
        </w:rPr>
      </w:pPr>
    </w:p>
    <w:p w14:paraId="0F8AE8BC"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sz w:val="28"/>
          <w:szCs w:val="28"/>
        </w:rPr>
      </w:pPr>
    </w:p>
    <w:p w14:paraId="5F0F2872" w14:textId="77777777" w:rsidR="00EC1E22" w:rsidRDefault="00EC1E22" w:rsidP="00EC1E22">
      <w:pPr>
        <w:tabs>
          <w:tab w:val="left" w:pos="426"/>
        </w:tabs>
        <w:suppressAutoHyphens/>
        <w:spacing w:after="0" w:line="240" w:lineRule="auto"/>
        <w:ind w:left="-567" w:right="-427" w:firstLine="567"/>
        <w:jc w:val="center"/>
        <w:rPr>
          <w:rFonts w:ascii="Times New Roman" w:eastAsia="Cambria" w:hAnsi="Times New Roman" w:cs="Times New Roman"/>
          <w:b/>
          <w:color w:val="000000" w:themeColor="text1"/>
          <w:sz w:val="28"/>
          <w:szCs w:val="28"/>
          <w:lang w:val="en-US"/>
        </w:rPr>
      </w:pPr>
      <w:r>
        <w:rPr>
          <w:rFonts w:ascii="Times New Roman" w:eastAsia="Cambria" w:hAnsi="Times New Roman" w:cs="Times New Roman"/>
          <w:b/>
          <w:color w:val="000000" w:themeColor="text1"/>
          <w:sz w:val="28"/>
          <w:szCs w:val="28"/>
        </w:rPr>
        <w:t>РАЗДЕЛ V</w:t>
      </w:r>
      <w:r>
        <w:rPr>
          <w:rFonts w:ascii="Times New Roman" w:eastAsia="Cambria" w:hAnsi="Times New Roman" w:cs="Times New Roman"/>
          <w:b/>
          <w:color w:val="000000" w:themeColor="text1"/>
          <w:sz w:val="28"/>
          <w:szCs w:val="28"/>
          <w:lang w:val="en-US"/>
        </w:rPr>
        <w:t>II</w:t>
      </w:r>
      <w:r>
        <w:rPr>
          <w:rFonts w:ascii="Times New Roman" w:eastAsia="Cambria" w:hAnsi="Times New Roman" w:cs="Times New Roman"/>
          <w:b/>
          <w:color w:val="000000" w:themeColor="text1"/>
          <w:sz w:val="28"/>
          <w:szCs w:val="28"/>
        </w:rPr>
        <w:t>. АДМИНИСТРАТИВНА И КОНТРОЛНО-РЕВИЗИОННА ДЕЙНОСТ.</w:t>
      </w:r>
    </w:p>
    <w:p w14:paraId="638F8770" w14:textId="77777777" w:rsidR="00EC1E22" w:rsidRDefault="00EC1E22" w:rsidP="00EC1E22">
      <w:pPr>
        <w:tabs>
          <w:tab w:val="left" w:pos="426"/>
        </w:tabs>
        <w:suppressAutoHyphens/>
        <w:spacing w:after="0" w:line="240" w:lineRule="auto"/>
        <w:ind w:left="-567" w:right="-427" w:firstLine="567"/>
        <w:jc w:val="center"/>
        <w:rPr>
          <w:rFonts w:ascii="Times New Roman" w:eastAsia="Cambria" w:hAnsi="Times New Roman" w:cs="Times New Roman"/>
          <w:sz w:val="28"/>
          <w:szCs w:val="28"/>
          <w:u w:val="single"/>
          <w:lang w:val="en-US"/>
        </w:rPr>
      </w:pPr>
    </w:p>
    <w:p w14:paraId="144BAE5B" w14:textId="77777777" w:rsidR="00EC1E22" w:rsidRDefault="00EC1E22" w:rsidP="00EC1E22">
      <w:pPr>
        <w:pStyle w:val="aa"/>
        <w:numPr>
          <w:ilvl w:val="0"/>
          <w:numId w:val="41"/>
        </w:numPr>
        <w:tabs>
          <w:tab w:val="left" w:pos="426"/>
          <w:tab w:val="left" w:pos="993"/>
        </w:tabs>
        <w:spacing w:after="0" w:line="240" w:lineRule="auto"/>
        <w:ind w:left="-567" w:right="-427" w:firstLine="56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Кадрово обезпечаване и квалификация на прокурорите и разследващите органи.</w:t>
      </w:r>
    </w:p>
    <w:p w14:paraId="366C844B" w14:textId="77777777" w:rsidR="00EC1E22" w:rsidRDefault="00EC1E22" w:rsidP="00EC1E22">
      <w:pPr>
        <w:pStyle w:val="aa"/>
        <w:tabs>
          <w:tab w:val="left" w:pos="426"/>
          <w:tab w:val="left" w:pos="993"/>
        </w:tabs>
        <w:spacing w:after="0" w:line="240" w:lineRule="auto"/>
        <w:ind w:left="-567" w:right="-427" w:firstLine="567"/>
        <w:jc w:val="both"/>
        <w:rPr>
          <w:rFonts w:ascii="Times New Roman" w:eastAsia="Cambria" w:hAnsi="Times New Roman" w:cs="Times New Roman"/>
          <w:b/>
          <w:color w:val="000000" w:themeColor="text1"/>
          <w:sz w:val="28"/>
          <w:szCs w:val="28"/>
        </w:rPr>
      </w:pPr>
    </w:p>
    <w:p w14:paraId="7C1C03AA"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 xml:space="preserve"> </w:t>
      </w:r>
      <w:r>
        <w:rPr>
          <w:rFonts w:ascii="Times New Roman" w:eastAsia="Cambria" w:hAnsi="Times New Roman" w:cs="Times New Roman"/>
          <w:sz w:val="28"/>
          <w:szCs w:val="28"/>
        </w:rPr>
        <w:t>Към 01.01.2025 г. утвърдения щат за магистрати в региона е 52 щ. бр., разпределени по вид длъжности:</w:t>
      </w:r>
    </w:p>
    <w:p w14:paraId="59C58977" w14:textId="77777777" w:rsidR="00EC1E22" w:rsidRDefault="00EC1E22" w:rsidP="00EC1E22">
      <w:pPr>
        <w:numPr>
          <w:ilvl w:val="2"/>
          <w:numId w:val="49"/>
        </w:num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административни  ръководители -  2 ; </w:t>
      </w:r>
    </w:p>
    <w:p w14:paraId="0A378C0D" w14:textId="77777777" w:rsidR="00EC1E22" w:rsidRDefault="00EC1E22" w:rsidP="00EC1E22">
      <w:pPr>
        <w:numPr>
          <w:ilvl w:val="2"/>
          <w:numId w:val="49"/>
        </w:num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заместници  на  административния  ръководител - 5;  </w:t>
      </w:r>
    </w:p>
    <w:p w14:paraId="10047ED4" w14:textId="77777777" w:rsidR="00EC1E22" w:rsidRDefault="00EC1E22" w:rsidP="00EC1E22">
      <w:pPr>
        <w:numPr>
          <w:ilvl w:val="2"/>
          <w:numId w:val="49"/>
        </w:num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прокурори - 29 ;</w:t>
      </w:r>
    </w:p>
    <w:p w14:paraId="17825606" w14:textId="77777777" w:rsidR="00EC1E22" w:rsidRDefault="00EC1E22" w:rsidP="00EC1E22">
      <w:pPr>
        <w:numPr>
          <w:ilvl w:val="2"/>
          <w:numId w:val="49"/>
        </w:num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младши  прокурори - 2 ;  </w:t>
      </w:r>
    </w:p>
    <w:p w14:paraId="7E2AD0D5" w14:textId="77777777" w:rsidR="00EC1E22" w:rsidRDefault="00EC1E22" w:rsidP="00EC1E22">
      <w:pPr>
        <w:numPr>
          <w:ilvl w:val="2"/>
          <w:numId w:val="49"/>
        </w:num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 xml:space="preserve">завеждащ  следствени  отдели  в  ОП - 1; </w:t>
      </w:r>
    </w:p>
    <w:p w14:paraId="4B9A8579" w14:textId="77777777" w:rsidR="00EC1E22" w:rsidRDefault="00EC1E22" w:rsidP="00EC1E22">
      <w:pPr>
        <w:numPr>
          <w:ilvl w:val="2"/>
          <w:numId w:val="49"/>
        </w:num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следователи - 11 ;</w:t>
      </w:r>
    </w:p>
    <w:p w14:paraId="01FF43CF" w14:textId="77777777" w:rsidR="00EC1E22" w:rsidRDefault="00EC1E22" w:rsidP="00EC1E22">
      <w:pPr>
        <w:numPr>
          <w:ilvl w:val="2"/>
          <w:numId w:val="49"/>
        </w:num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r>
        <w:rPr>
          <w:rFonts w:ascii="Times New Roman" w:hAnsi="Times New Roman" w:cs="Times New Roman"/>
          <w:sz w:val="28"/>
          <w:szCs w:val="28"/>
        </w:rPr>
        <w:t>младши следователи - 2.</w:t>
      </w:r>
    </w:p>
    <w:p w14:paraId="38D90F4D" w14:textId="77777777" w:rsidR="00EC1E22" w:rsidRDefault="00EC1E22" w:rsidP="00EC1E22">
      <w:p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p>
    <w:p w14:paraId="7A2CD22A" w14:textId="77777777" w:rsidR="00EC1E22" w:rsidRDefault="00EC1E22" w:rsidP="00EC1E22">
      <w:pPr>
        <w:tabs>
          <w:tab w:val="left" w:pos="426"/>
        </w:tabs>
        <w:spacing w:after="0" w:line="240" w:lineRule="auto"/>
        <w:ind w:left="-567" w:right="-427" w:firstLine="567"/>
        <w:jc w:val="both"/>
        <w:rPr>
          <w:rFonts w:ascii="Times New Roman" w:hAnsi="Times New Roman" w:cs="Times New Roman"/>
          <w:sz w:val="28"/>
          <w:szCs w:val="28"/>
        </w:rPr>
      </w:pPr>
      <w:r>
        <w:rPr>
          <w:rFonts w:ascii="Times New Roman" w:hAnsi="Times New Roman" w:cs="Times New Roman"/>
          <w:sz w:val="28"/>
          <w:szCs w:val="28"/>
        </w:rPr>
        <w:t>Разпределението на магистратските длъжности по прокуратури към 01.01.2025 г. е, както следва:</w:t>
      </w:r>
    </w:p>
    <w:p w14:paraId="24879A42" w14:textId="77777777" w:rsidR="00EC1E22" w:rsidRDefault="00EC1E22" w:rsidP="00EC1E22">
      <w:pPr>
        <w:tabs>
          <w:tab w:val="left" w:pos="426"/>
        </w:tabs>
        <w:spacing w:after="0" w:line="240" w:lineRule="auto"/>
        <w:ind w:left="-567" w:right="-427" w:firstLine="567"/>
        <w:jc w:val="both"/>
        <w:rPr>
          <w:rFonts w:ascii="Times New Roman" w:hAnsi="Times New Roman" w:cs="Times New Roman"/>
          <w:sz w:val="28"/>
          <w:szCs w:val="28"/>
        </w:rPr>
      </w:pPr>
      <w:r>
        <w:rPr>
          <w:rFonts w:ascii="Times New Roman" w:eastAsia="Cambria" w:hAnsi="Times New Roman" w:cs="Times New Roman"/>
          <w:sz w:val="28"/>
          <w:szCs w:val="28"/>
        </w:rPr>
        <w:t xml:space="preserve">Окръжна прокуратура Пазарджик – </w:t>
      </w:r>
      <w:r>
        <w:rPr>
          <w:rFonts w:ascii="Times New Roman" w:hAnsi="Times New Roman" w:cs="Times New Roman"/>
          <w:sz w:val="28"/>
          <w:szCs w:val="28"/>
        </w:rPr>
        <w:t>утвърден щат за магистрати общо – 26, от които: Административен ръководител – 1; Заместници на административния ръководител – 2; прокурори – 9; Завеждащ следствен отдел в ОП – 1; следователи – 11; Младши следователи – 2.</w:t>
      </w:r>
    </w:p>
    <w:p w14:paraId="01359957"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sz w:val="28"/>
          <w:szCs w:val="28"/>
        </w:rPr>
      </w:pPr>
      <w:r>
        <w:rPr>
          <w:rFonts w:ascii="Times New Roman" w:eastAsia="Cambria" w:hAnsi="Times New Roman" w:cs="Times New Roman"/>
          <w:sz w:val="28"/>
          <w:szCs w:val="28"/>
        </w:rPr>
        <w:t>Районна прокуратура Пазарджик – 26 щ. бр., от които</w:t>
      </w:r>
      <w:r>
        <w:rPr>
          <w:rFonts w:ascii="Times New Roman" w:eastAsia="Times New Roman" w:hAnsi="Times New Roman" w:cs="Times New Roman"/>
          <w:sz w:val="28"/>
          <w:szCs w:val="28"/>
        </w:rPr>
        <w:t xml:space="preserve">: административен ръководител – 1 щ. бр., зам. административен ръководител – 3 щ. бр., прокурор – 20 щ. бр. и мл. прокурор – 2 щ. бр. </w:t>
      </w:r>
    </w:p>
    <w:p w14:paraId="00485D66"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През отчетната 2025 г. назначени и освободени магистрати в Окръжна прокуратура Пазарджик са, както следва:</w:t>
      </w:r>
    </w:p>
    <w:p w14:paraId="7333CDC5" w14:textId="77777777" w:rsidR="00EC1E22" w:rsidRDefault="00EC1E22" w:rsidP="00EC1E22">
      <w:pPr>
        <w:spacing w:after="0" w:line="240" w:lineRule="auto"/>
        <w:ind w:left="-567" w:right="-427"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Съгласно Решение по Протокол № 16, т.8 от заседание на Прокурорската колегия на Висшия съдебен съвет, проведено на 14.05.2025г. един магистрат е освободен от заеманата длъжност „заместник на административния ръководител – заместник-окръжен прокурор“ на Окръжна прокуратура – Пазарджик и е преназначен на длъжност – „прокурор" в Окръжна прокуратура-Пазарджик, с ранг „прокурор във ВКП",  считано от 27.05.2025 г.</w:t>
      </w:r>
    </w:p>
    <w:p w14:paraId="256A015B" w14:textId="77777777" w:rsidR="00EC1E22" w:rsidRDefault="00EC1E22" w:rsidP="00EC1E22">
      <w:pPr>
        <w:spacing w:after="0" w:line="240" w:lineRule="auto"/>
        <w:ind w:left="-567" w:right="-427"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Съгласно Решение по Протокол № 17, т.5 от заседание на Прокурорската колегия на Висшия съдебен съвет, проведено на 21.05.2025г. един прокурор от ОП – Пазарджик е назначен на основание чл. 160, във връзка с чл. 168, ал. 3 от ЗСВ на длъжност „заместник на административния ръководител – заместник-окръжен прокурор“ на Окръжна прокуратура - Пазарджик, с ранг „прокурор във ВКП". Встъпил в длъжност на 27.05.2025 г.</w:t>
      </w:r>
    </w:p>
    <w:p w14:paraId="6EC2B4BB" w14:textId="77777777" w:rsidR="00EC1E22" w:rsidRDefault="00EC1E22" w:rsidP="00EC1E22">
      <w:pPr>
        <w:spacing w:after="0" w:line="240" w:lineRule="auto"/>
        <w:ind w:left="-567" w:right="-427"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Съгласно Решение по Протокол № 22, т.7.14 от заседание на Прокурорската колегия на Висшия съдебен съвет, проведено на 25.06.2025г. на основание чл. 160, във връзка с чл. 243 от ЗСВ, един магистрат на длъжност „младши следовател“ в </w:t>
      </w:r>
      <w:r>
        <w:rPr>
          <w:rFonts w:ascii="Times New Roman" w:eastAsia="Times New Roman" w:hAnsi="Times New Roman" w:cs="Times New Roman"/>
          <w:sz w:val="28"/>
          <w:szCs w:val="28"/>
        </w:rPr>
        <w:lastRenderedPageBreak/>
        <w:t xml:space="preserve">Окръжен следствен отдел в ОП – Пазарджик е назначен на длъжност </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следовател“  в Следствения отдел при Софийска градска</w:t>
      </w:r>
      <w:r>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lang w:val="en-US"/>
        </w:rPr>
        <w:t>прокуратура</w:t>
      </w:r>
      <w:proofErr w:type="spellEnd"/>
      <w:r>
        <w:rPr>
          <w:rFonts w:ascii="Times New Roman" w:eastAsia="Times New Roman" w:hAnsi="Times New Roman" w:cs="Times New Roman"/>
          <w:sz w:val="28"/>
          <w:szCs w:val="28"/>
        </w:rPr>
        <w:t>, считано от 04.07.2025 г.</w:t>
      </w:r>
    </w:p>
    <w:p w14:paraId="3E9C5E5F" w14:textId="77777777" w:rsidR="00EC1E22" w:rsidRDefault="00EC1E22" w:rsidP="00EC1E22">
      <w:pPr>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Решение по Протокол № 47 т. 3.6. от 20.12.2023 г. на осн. чл. 160, във вр. с чл. 186а, ал. 3 от ЗСВ, в ОП – Пазарджик е назначена магистрат на длъжност "прокурор", с ранг "прокурор в ОП", считано от датата на встъпване в длъжност. След влизане в сила на решението магистратът е встъпил в длъжност на 29.08.2025 г.</w:t>
      </w:r>
    </w:p>
    <w:p w14:paraId="0FDD46D8" w14:textId="77777777" w:rsidR="00EC1E22" w:rsidRDefault="00EC1E22" w:rsidP="00EC1E22">
      <w:pPr>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Съгласно Решение по Протокол № 30 т. 5 от 17.09.2025 г. на Прокурорската колегия на Висш съдебен съвет, на осн. чл. 160, във вр. с чл. 165, ал. 1 т. 1 от ЗСВ, от заеманата длъжност „следовател“ в Окръжен следствен отдел в Окръжна </w:t>
      </w:r>
      <w:proofErr w:type="spellStart"/>
      <w:r>
        <w:rPr>
          <w:rFonts w:ascii="Times New Roman" w:eastAsia="Times New Roman" w:hAnsi="Times New Roman" w:cs="Times New Roman"/>
          <w:sz w:val="28"/>
          <w:szCs w:val="28"/>
        </w:rPr>
        <w:t>прокуартура</w:t>
      </w:r>
      <w:proofErr w:type="spellEnd"/>
      <w:r>
        <w:rPr>
          <w:rFonts w:ascii="Times New Roman" w:eastAsia="Times New Roman" w:hAnsi="Times New Roman" w:cs="Times New Roman"/>
          <w:sz w:val="28"/>
          <w:szCs w:val="28"/>
        </w:rPr>
        <w:t xml:space="preserve"> – Пазарджик е освободен един магистрат, считано от 01.10.2025 г.;</w:t>
      </w:r>
    </w:p>
    <w:p w14:paraId="36F38843" w14:textId="77777777" w:rsidR="00EC1E22" w:rsidRDefault="00EC1E22" w:rsidP="00EC1E22">
      <w:pPr>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Пленума на Висшия съдебен съвет с Решение по Протокол № 22 т. 2.2. от 18.09.2025 г. на осн. чл. 30 ал. 2 т. 8 от ЗСВ съкращава щатната численост на Окръжна прокуратура – Пазарджик с 1 (една) свободна длъжност „прокурор“, считано от датата на вземане на решението.</w:t>
      </w:r>
    </w:p>
    <w:p w14:paraId="37BF4A3B" w14:textId="77777777" w:rsidR="00EC1E22" w:rsidRDefault="00EC1E22" w:rsidP="00EC1E22">
      <w:pPr>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Решение по Протокол № 30 т. 6 от 17.09.2025 г. на Прокурорската колегия на Висш съдебен съвет, на осн. чл. 160, във вр. с чл. 165, ал. 1 т. 1 от ЗСВ, от заеманата длъжност „следовател“ в Окръжен следствен отдел в Окръжна прокуратура – Пазарджик е освободен един магистрат, считано от 06.10.2025 г.</w:t>
      </w:r>
    </w:p>
    <w:p w14:paraId="408F95BF" w14:textId="77777777" w:rsidR="00EC1E22" w:rsidRDefault="00EC1E22" w:rsidP="00EC1E22">
      <w:pPr>
        <w:pStyle w:val="a4"/>
        <w:ind w:left="-567" w:right="-427" w:firstLine="567"/>
        <w:jc w:val="both"/>
        <w:rPr>
          <w:rFonts w:ascii="Times New Roman" w:hAnsi="Times New Roman" w:cs="Times New Roman"/>
          <w:sz w:val="28"/>
          <w:szCs w:val="28"/>
        </w:rPr>
      </w:pPr>
      <w:r>
        <w:rPr>
          <w:rFonts w:ascii="Times New Roman" w:hAnsi="Times New Roman" w:cs="Times New Roman"/>
          <w:sz w:val="28"/>
          <w:szCs w:val="28"/>
        </w:rPr>
        <w:t>През отчетната 2025 година има един магистрат, ползвал болничен поради временна неработоспособност и трима магистрати, ползващи отпуски по чл. 163 ал. 1 от КТ /бременност и раждане/ и по чл. 164 ал. 1 от КТ /отглеждане на дете до 2-годишна възраст/.</w:t>
      </w:r>
    </w:p>
    <w:p w14:paraId="5F7091D5" w14:textId="77777777" w:rsidR="00EC1E22" w:rsidRDefault="00EC1E22" w:rsidP="00EC1E22">
      <w:pPr>
        <w:pStyle w:val="a4"/>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Броят на реално работилите прокурори в Окръжна прокуратура – Пазарджик през 2025 г. е </w:t>
      </w:r>
      <w:r>
        <w:rPr>
          <w:rFonts w:ascii="Times New Roman" w:eastAsia="Times New Roman" w:hAnsi="Times New Roman" w:cs="Times New Roman"/>
          <w:b/>
          <w:sz w:val="28"/>
          <w:szCs w:val="28"/>
        </w:rPr>
        <w:t>11,58.</w:t>
      </w:r>
    </w:p>
    <w:p w14:paraId="7C978339" w14:textId="77777777" w:rsidR="00EC1E22" w:rsidRDefault="00EC1E22" w:rsidP="00EC1E22">
      <w:pPr>
        <w:pStyle w:val="a4"/>
        <w:ind w:left="-567" w:right="-427"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Брой реално работили следователи за 2025 г. е  </w:t>
      </w:r>
      <w:r>
        <w:rPr>
          <w:rFonts w:ascii="Times New Roman" w:eastAsia="Times New Roman" w:hAnsi="Times New Roman" w:cs="Times New Roman"/>
          <w:b/>
          <w:sz w:val="28"/>
          <w:szCs w:val="28"/>
        </w:rPr>
        <w:t xml:space="preserve">8,92. </w:t>
      </w:r>
    </w:p>
    <w:p w14:paraId="5B9222A8" w14:textId="77777777" w:rsidR="00EC1E22" w:rsidRDefault="00EC1E22" w:rsidP="00EC1E22">
      <w:pPr>
        <w:tabs>
          <w:tab w:val="left" w:pos="0"/>
          <w:tab w:val="left" w:pos="426"/>
        </w:tabs>
        <w:overflowPunct w:val="0"/>
        <w:autoSpaceDE w:val="0"/>
        <w:autoSpaceDN w:val="0"/>
        <w:adjustRightInd w:val="0"/>
        <w:spacing w:after="0" w:line="240" w:lineRule="auto"/>
        <w:ind w:left="-567" w:right="-427" w:firstLine="567"/>
        <w:jc w:val="both"/>
        <w:textAlignment w:val="baseline"/>
        <w:rPr>
          <w:rFonts w:ascii="Times New Roman" w:hAnsi="Times New Roman" w:cs="Times New Roman"/>
          <w:sz w:val="28"/>
          <w:szCs w:val="28"/>
        </w:rPr>
      </w:pPr>
    </w:p>
    <w:p w14:paraId="1048781A" w14:textId="77777777" w:rsidR="00EC1E22" w:rsidRDefault="00EC1E22" w:rsidP="00EC1E22">
      <w:pPr>
        <w:tabs>
          <w:tab w:val="left" w:pos="426"/>
        </w:tabs>
        <w:spacing w:after="0" w:line="240" w:lineRule="auto"/>
        <w:ind w:left="-567" w:right="-427" w:firstLine="567"/>
        <w:jc w:val="both"/>
        <w:rPr>
          <w:rFonts w:ascii="Times New Roman" w:hAnsi="Times New Roman" w:cs="Times New Roman"/>
          <w:sz w:val="28"/>
          <w:szCs w:val="28"/>
        </w:rPr>
      </w:pPr>
      <w:r>
        <w:rPr>
          <w:rFonts w:ascii="Times New Roman" w:eastAsia="Cambria" w:hAnsi="Times New Roman" w:cs="Times New Roman"/>
          <w:sz w:val="28"/>
          <w:szCs w:val="28"/>
          <w:u w:val="single"/>
        </w:rPr>
        <w:t xml:space="preserve">Окръжна прокуратура Пазарджик </w:t>
      </w:r>
      <w:r>
        <w:rPr>
          <w:rFonts w:ascii="Times New Roman" w:eastAsia="Times New Roman" w:hAnsi="Times New Roman" w:cs="Times New Roman"/>
          <w:sz w:val="28"/>
          <w:szCs w:val="28"/>
        </w:rPr>
        <w:t>към 31.12.2025 г.</w:t>
      </w:r>
      <w:r>
        <w:rPr>
          <w:rFonts w:ascii="Times New Roman" w:eastAsia="Cambria" w:hAnsi="Times New Roman" w:cs="Times New Roman"/>
          <w:sz w:val="28"/>
          <w:szCs w:val="28"/>
        </w:rPr>
        <w:t xml:space="preserve">– </w:t>
      </w:r>
      <w:r>
        <w:rPr>
          <w:rFonts w:ascii="Times New Roman" w:hAnsi="Times New Roman" w:cs="Times New Roman"/>
          <w:sz w:val="28"/>
          <w:szCs w:val="28"/>
        </w:rPr>
        <w:t>утвърден щат за магистрати общо – 25, от които: Административен ръководител – 1; Заместници на административния ръководител – 2; прокурори – 8; Завеждащ следствен отдел в ОП – 1; следователи – 11; Младши следователи – 2.</w:t>
      </w:r>
    </w:p>
    <w:p w14:paraId="47343498"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sz w:val="28"/>
          <w:szCs w:val="28"/>
        </w:rPr>
      </w:pPr>
      <w:r>
        <w:rPr>
          <w:rFonts w:ascii="Times New Roman" w:eastAsia="Cambria" w:hAnsi="Times New Roman" w:cs="Times New Roman"/>
          <w:sz w:val="28"/>
          <w:szCs w:val="28"/>
          <w:u w:val="single"/>
        </w:rPr>
        <w:t>Районна прокуратура Пазарджик</w:t>
      </w:r>
      <w:r>
        <w:rPr>
          <w:rFonts w:ascii="Times New Roman" w:eastAsia="Cambria" w:hAnsi="Times New Roman" w:cs="Times New Roman"/>
          <w:sz w:val="28"/>
          <w:szCs w:val="28"/>
        </w:rPr>
        <w:t xml:space="preserve"> – 26 щ. бр., от които</w:t>
      </w:r>
      <w:r>
        <w:rPr>
          <w:rFonts w:ascii="Times New Roman" w:eastAsia="Times New Roman" w:hAnsi="Times New Roman" w:cs="Times New Roman"/>
          <w:sz w:val="28"/>
          <w:szCs w:val="28"/>
        </w:rPr>
        <w:t xml:space="preserve">: административен ръководител – 1 щ. бр., зам. административен ръководител – 3 щ. бр., прокурор – 20 щ. бр. и мл. прокурор – 2 щ. бр. </w:t>
      </w:r>
    </w:p>
    <w:p w14:paraId="38D27912"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Незаети към 31.12.2025 г. са 10  щата, както следва:</w:t>
      </w:r>
    </w:p>
    <w:p w14:paraId="7D7B76CF" w14:textId="77777777" w:rsidR="00EC1E22" w:rsidRDefault="00EC1E22" w:rsidP="00EC1E22">
      <w:pPr>
        <w:widowControl w:val="0"/>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Cambria" w:hAnsi="Times New Roman" w:cs="Times New Roman"/>
          <w:sz w:val="28"/>
          <w:szCs w:val="28"/>
          <w:u w:val="single"/>
        </w:rPr>
        <w:t>Окръжна прокуратура Пазарджик</w:t>
      </w:r>
      <w:r>
        <w:rPr>
          <w:rFonts w:ascii="Times New Roman" w:eastAsia="Cambria" w:hAnsi="Times New Roman" w:cs="Times New Roman"/>
          <w:sz w:val="28"/>
          <w:szCs w:val="28"/>
        </w:rPr>
        <w:t xml:space="preserve"> </w:t>
      </w:r>
      <w:r>
        <w:rPr>
          <w:rFonts w:ascii="Times New Roman" w:eastAsia="Times New Roman" w:hAnsi="Times New Roman" w:cs="Times New Roman"/>
          <w:sz w:val="28"/>
          <w:szCs w:val="28"/>
        </w:rPr>
        <w:t>– 3</w:t>
      </w:r>
      <w:r>
        <w:rPr>
          <w:rFonts w:ascii="Times New Roman" w:eastAsia="Times New Roman" w:hAnsi="Times New Roman" w:cs="Times New Roman"/>
          <w:sz w:val="28"/>
          <w:szCs w:val="28"/>
          <w:lang w:bidi="bg-BG"/>
        </w:rPr>
        <w:t xml:space="preserve"> щатни бройки за „прокурор“, на две от които са командировани прокурори от РП Пазарджик и на 1 </w:t>
      </w:r>
      <w:proofErr w:type="spellStart"/>
      <w:r>
        <w:rPr>
          <w:rFonts w:ascii="Times New Roman" w:eastAsia="Times New Roman" w:hAnsi="Times New Roman" w:cs="Times New Roman"/>
          <w:sz w:val="28"/>
          <w:szCs w:val="28"/>
          <w:lang w:bidi="bg-BG"/>
        </w:rPr>
        <w:t>щ.бр</w:t>
      </w:r>
      <w:proofErr w:type="spellEnd"/>
      <w:r>
        <w:rPr>
          <w:rFonts w:ascii="Times New Roman" w:eastAsia="Times New Roman" w:hAnsi="Times New Roman" w:cs="Times New Roman"/>
          <w:sz w:val="28"/>
          <w:szCs w:val="28"/>
          <w:lang w:bidi="bg-BG"/>
        </w:rPr>
        <w:t xml:space="preserve">. е командирован прокурор от РП - Пловдив, до заемането им чрез конкурс, 1 щатна бройка за „младши следовател“ и 3 </w:t>
      </w:r>
      <w:proofErr w:type="spellStart"/>
      <w:r>
        <w:rPr>
          <w:rFonts w:ascii="Times New Roman" w:eastAsia="Times New Roman" w:hAnsi="Times New Roman" w:cs="Times New Roman"/>
          <w:sz w:val="28"/>
          <w:szCs w:val="28"/>
          <w:lang w:bidi="bg-BG"/>
        </w:rPr>
        <w:t>щ.бр</w:t>
      </w:r>
      <w:proofErr w:type="spellEnd"/>
      <w:r>
        <w:rPr>
          <w:rFonts w:ascii="Times New Roman" w:eastAsia="Times New Roman" w:hAnsi="Times New Roman" w:cs="Times New Roman"/>
          <w:sz w:val="28"/>
          <w:szCs w:val="28"/>
          <w:lang w:bidi="bg-BG"/>
        </w:rPr>
        <w:t xml:space="preserve">. за „следовател“ в Окръжен следствен отдел при ОП Пазарджик. </w:t>
      </w:r>
      <w:r>
        <w:rPr>
          <w:rFonts w:ascii="Times New Roman" w:eastAsia="Times New Roman" w:hAnsi="Times New Roman" w:cs="Times New Roman"/>
          <w:sz w:val="28"/>
          <w:szCs w:val="28"/>
          <w:lang w:bidi="bg-BG"/>
        </w:rPr>
        <w:tab/>
      </w:r>
    </w:p>
    <w:p w14:paraId="0489EA26" w14:textId="77777777" w:rsidR="00EC1E22" w:rsidRDefault="00EC1E22" w:rsidP="00EC1E22">
      <w:pPr>
        <w:widowControl w:val="0"/>
        <w:tabs>
          <w:tab w:val="left" w:pos="426"/>
        </w:tabs>
        <w:spacing w:after="0" w:line="240" w:lineRule="auto"/>
        <w:ind w:left="-567" w:right="-427" w:firstLine="567"/>
        <w:jc w:val="both"/>
        <w:rPr>
          <w:rFonts w:ascii="Times New Roman" w:eastAsia="Times New Roman" w:hAnsi="Times New Roman" w:cs="Times New Roman"/>
          <w:sz w:val="28"/>
          <w:szCs w:val="28"/>
        </w:rPr>
      </w:pPr>
      <w:r>
        <w:rPr>
          <w:rFonts w:ascii="Times New Roman" w:eastAsia="Cambria" w:hAnsi="Times New Roman" w:cs="Times New Roman"/>
          <w:sz w:val="28"/>
          <w:szCs w:val="28"/>
          <w:u w:val="single"/>
        </w:rPr>
        <w:t>Районна прокуратура Пазарджик</w:t>
      </w:r>
      <w:r>
        <w:rPr>
          <w:rFonts w:ascii="Times New Roman" w:eastAsia="Cambria"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Cambria" w:hAnsi="Times New Roman" w:cs="Times New Roman"/>
          <w:sz w:val="28"/>
          <w:szCs w:val="28"/>
        </w:rPr>
        <w:t xml:space="preserve"> са 3 щ. бр., както следват: за длъжността „прокурор“ – 2 </w:t>
      </w:r>
      <w:proofErr w:type="spellStart"/>
      <w:r>
        <w:rPr>
          <w:rFonts w:ascii="Times New Roman" w:eastAsia="Cambria" w:hAnsi="Times New Roman" w:cs="Times New Roman"/>
          <w:sz w:val="28"/>
          <w:szCs w:val="28"/>
        </w:rPr>
        <w:t>щ.бр</w:t>
      </w:r>
      <w:proofErr w:type="spellEnd"/>
      <w:r>
        <w:rPr>
          <w:rFonts w:ascii="Times New Roman" w:eastAsia="Cambria" w:hAnsi="Times New Roman" w:cs="Times New Roman"/>
          <w:sz w:val="28"/>
          <w:szCs w:val="28"/>
        </w:rPr>
        <w:t xml:space="preserve">. и за длъжността </w:t>
      </w:r>
      <w:r>
        <w:rPr>
          <w:rFonts w:ascii="Times New Roman" w:eastAsia="Times New Roman" w:hAnsi="Times New Roman" w:cs="Times New Roman"/>
          <w:sz w:val="28"/>
          <w:szCs w:val="28"/>
        </w:rPr>
        <w:t xml:space="preserve">„младши прокурор“ – 1 щ. бр. </w:t>
      </w:r>
    </w:p>
    <w:p w14:paraId="39E86C87" w14:textId="77777777" w:rsidR="00EC1E22" w:rsidRDefault="00EC1E22" w:rsidP="00EC1E22">
      <w:pPr>
        <w:widowControl w:val="0"/>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Cambria" w:hAnsi="Times New Roman" w:cs="Times New Roman"/>
          <w:sz w:val="28"/>
          <w:szCs w:val="28"/>
        </w:rPr>
        <w:t>Щатът на съдебните служители към 31.12.2025 г. общо за региона е 63,  разпределени по прокуратури:</w:t>
      </w:r>
    </w:p>
    <w:p w14:paraId="24983DC7" w14:textId="77777777" w:rsidR="00EC1E22" w:rsidRDefault="00EC1E22" w:rsidP="00EC1E22">
      <w:pPr>
        <w:widowControl w:val="0"/>
        <w:tabs>
          <w:tab w:val="left" w:pos="426"/>
        </w:tabs>
        <w:spacing w:after="0" w:line="240" w:lineRule="auto"/>
        <w:ind w:left="-567" w:right="-427" w:firstLine="567"/>
        <w:jc w:val="both"/>
        <w:rPr>
          <w:rFonts w:ascii="Times New Roman" w:eastAsia="Times New Roman" w:hAnsi="Times New Roman" w:cs="Times New Roman"/>
          <w:sz w:val="28"/>
          <w:szCs w:val="28"/>
          <w:lang w:bidi="bg-BG"/>
        </w:rPr>
      </w:pPr>
      <w:r>
        <w:rPr>
          <w:rFonts w:ascii="Times New Roman" w:eastAsia="Cambria" w:hAnsi="Times New Roman" w:cs="Times New Roman"/>
          <w:sz w:val="28"/>
          <w:szCs w:val="28"/>
        </w:rPr>
        <w:t>Окръжна прокуратура Пазарджик –</w:t>
      </w:r>
      <w:r>
        <w:rPr>
          <w:rFonts w:ascii="Times New Roman" w:eastAsia="Times New Roman" w:hAnsi="Times New Roman" w:cs="Times New Roman"/>
          <w:sz w:val="28"/>
          <w:szCs w:val="28"/>
          <w:lang w:bidi="bg-BG"/>
        </w:rPr>
        <w:t xml:space="preserve"> Към края на 2025 г. общият брой по утвърден щат на съдебните служители в Окръжна прокуратура Пазарджик е 31, </w:t>
      </w:r>
      <w:r>
        <w:rPr>
          <w:rFonts w:ascii="Times New Roman" w:eastAsia="Times New Roman" w:hAnsi="Times New Roman" w:cs="Times New Roman"/>
          <w:sz w:val="28"/>
          <w:szCs w:val="28"/>
          <w:lang w:bidi="bg-BG"/>
        </w:rPr>
        <w:lastRenderedPageBreak/>
        <w:t>като всички са заети.</w:t>
      </w:r>
    </w:p>
    <w:p w14:paraId="7F86C0BF" w14:textId="77777777" w:rsidR="00EC1E22" w:rsidRDefault="00EC1E22" w:rsidP="00EC1E22">
      <w:pPr>
        <w:widowControl w:val="0"/>
        <w:tabs>
          <w:tab w:val="left" w:pos="426"/>
        </w:tabs>
        <w:spacing w:after="0" w:line="240" w:lineRule="auto"/>
        <w:ind w:left="-567" w:right="-427" w:firstLine="567"/>
        <w:jc w:val="both"/>
        <w:rPr>
          <w:rFonts w:ascii="Times New Roman" w:eastAsia="Times New Roman" w:hAnsi="Times New Roman" w:cs="Times New Roman"/>
          <w:color w:val="000000"/>
          <w:sz w:val="28"/>
          <w:szCs w:val="28"/>
          <w:lang w:bidi="bg-BG"/>
        </w:rPr>
      </w:pPr>
      <w:r>
        <w:rPr>
          <w:rFonts w:ascii="Times New Roman" w:eastAsia="Times New Roman" w:hAnsi="Times New Roman" w:cs="Times New Roman"/>
          <w:color w:val="000000"/>
          <w:sz w:val="28"/>
          <w:szCs w:val="28"/>
          <w:lang w:bidi="bg-BG"/>
        </w:rPr>
        <w:t>Съотношението на магистрати към съдебни служители е 1: 1,24.</w:t>
      </w:r>
    </w:p>
    <w:p w14:paraId="6F9D6E33" w14:textId="77777777" w:rsidR="00EC1E22" w:rsidRDefault="00EC1E22" w:rsidP="00EC1E22">
      <w:pPr>
        <w:widowControl w:val="0"/>
        <w:tabs>
          <w:tab w:val="left" w:pos="426"/>
        </w:tabs>
        <w:spacing w:after="0" w:line="240" w:lineRule="auto"/>
        <w:ind w:left="-567" w:right="-427" w:firstLine="567"/>
        <w:jc w:val="both"/>
        <w:rPr>
          <w:rFonts w:ascii="Times New Roman" w:eastAsia="Times New Roman" w:hAnsi="Times New Roman" w:cs="Times New Roman"/>
          <w:color w:val="000000"/>
          <w:sz w:val="28"/>
          <w:szCs w:val="28"/>
          <w:lang w:bidi="bg-BG"/>
        </w:rPr>
      </w:pPr>
      <w:r>
        <w:rPr>
          <w:rFonts w:ascii="Times New Roman" w:eastAsia="Cambria" w:hAnsi="Times New Roman" w:cs="Times New Roman"/>
          <w:sz w:val="28"/>
          <w:szCs w:val="28"/>
        </w:rPr>
        <w:t xml:space="preserve">Районна прокуратура Пазарджик </w:t>
      </w:r>
      <w:r>
        <w:rPr>
          <w:rFonts w:ascii="Times New Roman" w:eastAsia="Times New Roman" w:hAnsi="Times New Roman" w:cs="Times New Roman"/>
          <w:sz w:val="28"/>
          <w:szCs w:val="28"/>
          <w:lang w:bidi="bg-BG"/>
        </w:rPr>
        <w:t xml:space="preserve">–  Към края на 2025 г. общият брой по утвърден щат на съдебните служители в РП Пазарджик е </w:t>
      </w:r>
      <w:r>
        <w:rPr>
          <w:rFonts w:ascii="Times New Roman" w:eastAsia="Times New Roman" w:hAnsi="Times New Roman" w:cs="Times New Roman"/>
          <w:sz w:val="28"/>
          <w:szCs w:val="28"/>
        </w:rPr>
        <w:t>32 щ. бр., като незает е 0,5 щат за длъжността „прокурор“.</w:t>
      </w:r>
    </w:p>
    <w:p w14:paraId="05997C76" w14:textId="77777777" w:rsidR="00EC1E22" w:rsidRDefault="00EC1E22" w:rsidP="00EC1E22">
      <w:pPr>
        <w:widowControl w:val="0"/>
        <w:tabs>
          <w:tab w:val="left" w:pos="426"/>
        </w:tabs>
        <w:spacing w:after="0" w:line="240" w:lineRule="auto"/>
        <w:ind w:left="-567" w:right="-427" w:firstLine="567"/>
        <w:jc w:val="both"/>
        <w:rPr>
          <w:rFonts w:ascii="Times New Roman" w:eastAsia="Times New Roman" w:hAnsi="Times New Roman" w:cs="Times New Roman"/>
          <w:color w:val="000000"/>
          <w:sz w:val="28"/>
          <w:szCs w:val="28"/>
          <w:lang w:bidi="bg-BG"/>
        </w:rPr>
      </w:pPr>
      <w:r>
        <w:rPr>
          <w:rFonts w:ascii="Times New Roman" w:eastAsia="Times New Roman" w:hAnsi="Times New Roman" w:cs="Times New Roman"/>
          <w:color w:val="000000"/>
          <w:sz w:val="28"/>
          <w:szCs w:val="28"/>
          <w:lang w:bidi="bg-BG"/>
        </w:rPr>
        <w:t>Съотношението на магистрати към съдебни служители е 1: 1,23.</w:t>
      </w:r>
    </w:p>
    <w:p w14:paraId="6C487DED"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b/>
          <w:sz w:val="28"/>
          <w:szCs w:val="28"/>
          <w:lang w:bidi="bg-BG"/>
        </w:rPr>
      </w:pPr>
    </w:p>
    <w:p w14:paraId="3413DCBE"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b/>
          <w:sz w:val="28"/>
          <w:szCs w:val="28"/>
          <w:lang w:bidi="bg-BG"/>
        </w:rPr>
      </w:pPr>
      <w:r>
        <w:rPr>
          <w:rFonts w:ascii="Times New Roman" w:eastAsia="Times New Roman" w:hAnsi="Times New Roman" w:cs="Times New Roman"/>
          <w:b/>
          <w:sz w:val="28"/>
          <w:szCs w:val="28"/>
          <w:lang w:bidi="bg-BG"/>
        </w:rPr>
        <w:t>2. Професионална квалификация: обучения и оценка на ефекта от тях: конкретни предложения. И през отчетния период продължи участието на магистрати и съдебни служители от региона в обучителни мероприятия, част от които провеждани дистанционно.</w:t>
      </w:r>
    </w:p>
    <w:p w14:paraId="7908315F"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b/>
          <w:sz w:val="28"/>
          <w:szCs w:val="28"/>
        </w:rPr>
      </w:pPr>
    </w:p>
    <w:p w14:paraId="4A5B0D3C" w14:textId="77777777" w:rsidR="00EC1E22" w:rsidRDefault="00EC1E22" w:rsidP="00EC1E22">
      <w:pPr>
        <w:pStyle w:val="a4"/>
        <w:ind w:left="-567" w:right="-427" w:firstLine="567"/>
        <w:jc w:val="both"/>
        <w:rPr>
          <w:rFonts w:ascii="Times New Roman" w:eastAsia="Times New Roman" w:hAnsi="Times New Roman" w:cs="Times New Roman"/>
          <w:bCs/>
          <w:sz w:val="28"/>
          <w:szCs w:val="28"/>
          <w:lang w:bidi="bg-BG"/>
        </w:rPr>
      </w:pPr>
      <w:r>
        <w:rPr>
          <w:rFonts w:ascii="Times New Roman" w:eastAsia="Times New Roman" w:hAnsi="Times New Roman" w:cs="Times New Roman"/>
          <w:sz w:val="28"/>
          <w:szCs w:val="28"/>
          <w:lang w:bidi="bg-BG"/>
        </w:rPr>
        <w:t xml:space="preserve">През 2025 г., магистратите от Пазарджишки съдебен район са взели участие в обучения на теми: „Борба с организираната престъпност и прането на пари“, „Престъпления против данъчната и осигурителната система“, Есенна академия на АПБ на тема „Киберпрестъпления“, „Създаването и прилагането на унифициран механизъм за разкриването и разследването на финансовите аспекти на престъпления, генериращи престъпни облаги, както и на терористични престъпления. Взаимодействие с национални и международни финансови и нефинансови институции. Установяване на правила, с които се улеснява използването на финансова и друга информация за предотвратяването, разкриването, </w:t>
      </w:r>
      <w:proofErr w:type="spellStart"/>
      <w:r>
        <w:rPr>
          <w:rFonts w:ascii="Times New Roman" w:eastAsia="Times New Roman" w:hAnsi="Times New Roman" w:cs="Times New Roman"/>
          <w:sz w:val="28"/>
          <w:szCs w:val="28"/>
          <w:lang w:bidi="bg-BG"/>
        </w:rPr>
        <w:t>раследването</w:t>
      </w:r>
      <w:proofErr w:type="spellEnd"/>
      <w:r>
        <w:rPr>
          <w:rFonts w:ascii="Times New Roman" w:eastAsia="Times New Roman" w:hAnsi="Times New Roman" w:cs="Times New Roman"/>
          <w:sz w:val="28"/>
          <w:szCs w:val="28"/>
          <w:lang w:bidi="bg-BG"/>
        </w:rPr>
        <w:t xml:space="preserve"> или наказателното преследване на определени престъпления“, „Младшият следовател – първи стъпки и предизвикателства в професията“, „Надграждане на практическите умения на прокурорите и следователите за работа с финансови и икономически данни и счетоводни документи“, „Етични предизвикателства в професионалното и лично поведение на съдиите, прокурорите и следователите през призмата на практиката на ВАС. „Ролята на декларациите за превенция на конфликта на интереси и противодействие на корупцията в съдебната власт“, „Касационно производство. Възобновяване на наказателни дела. Участие на прокурора в производствата по ЗОДОВ“,</w:t>
      </w:r>
      <w:r>
        <w:rPr>
          <w:rFonts w:ascii="Times New Roman" w:hAnsi="Times New Roman" w:cs="Times New Roman"/>
          <w:sz w:val="28"/>
          <w:szCs w:val="28"/>
        </w:rPr>
        <w:t xml:space="preserve"> </w:t>
      </w:r>
      <w:r>
        <w:rPr>
          <w:rFonts w:ascii="Times New Roman" w:eastAsia="Times New Roman" w:hAnsi="Times New Roman" w:cs="Times New Roman"/>
          <w:sz w:val="28"/>
          <w:szCs w:val="28"/>
          <w:lang w:bidi="bg-BG"/>
        </w:rPr>
        <w:t xml:space="preserve">Практически аспекти при изготвяне на искания за използване на СРС и разследване чрез служител под прикритие“, „Изпиране на пари и финансиране на </w:t>
      </w:r>
      <w:proofErr w:type="spellStart"/>
      <w:r>
        <w:rPr>
          <w:rFonts w:ascii="Times New Roman" w:eastAsia="Times New Roman" w:hAnsi="Times New Roman" w:cs="Times New Roman"/>
          <w:sz w:val="28"/>
          <w:szCs w:val="28"/>
          <w:lang w:bidi="bg-BG"/>
        </w:rPr>
        <w:t>теротизъм</w:t>
      </w:r>
      <w:proofErr w:type="spellEnd"/>
      <w:r>
        <w:rPr>
          <w:rFonts w:ascii="Times New Roman" w:eastAsia="Times New Roman" w:hAnsi="Times New Roman" w:cs="Times New Roman"/>
          <w:sz w:val="28"/>
          <w:szCs w:val="28"/>
          <w:lang w:bidi="bg-BG"/>
        </w:rPr>
        <w:t>. Използване на косвени доказателства в процеса на доказване. Провеждане на паралелни финансови разследвания“,</w:t>
      </w:r>
      <w:r>
        <w:rPr>
          <w:rFonts w:ascii="Times New Roman" w:hAnsi="Times New Roman" w:cs="Times New Roman"/>
          <w:sz w:val="28"/>
          <w:szCs w:val="28"/>
        </w:rPr>
        <w:t xml:space="preserve"> </w:t>
      </w:r>
      <w:r>
        <w:rPr>
          <w:rFonts w:ascii="Times New Roman" w:eastAsia="Times New Roman" w:hAnsi="Times New Roman" w:cs="Times New Roman"/>
          <w:bCs/>
          <w:sz w:val="28"/>
          <w:szCs w:val="28"/>
          <w:lang w:bidi="bg-BG"/>
        </w:rPr>
        <w:t xml:space="preserve">„Борба с измамите с европейски средства. Взаимодействие на прокуратурата с държавната администрация и МВР“, </w:t>
      </w:r>
      <w:r>
        <w:rPr>
          <w:rFonts w:ascii="Times New Roman" w:eastAsia="Times New Roman" w:hAnsi="Times New Roman" w:cs="Times New Roman"/>
          <w:sz w:val="28"/>
          <w:szCs w:val="28"/>
          <w:lang w:bidi="bg-BG"/>
        </w:rPr>
        <w:t xml:space="preserve">„Въведение към защита правата на човека на международно и регионално ниво“, „Актуални аспекти и практика при противодействието на престъпленията против финансовите интереси на ЕС. Взаимодействие с Европейската прокуратура“, </w:t>
      </w:r>
      <w:r>
        <w:rPr>
          <w:rFonts w:ascii="Times New Roman" w:eastAsia="Times New Roman" w:hAnsi="Times New Roman" w:cs="Times New Roman"/>
          <w:bCs/>
          <w:sz w:val="28"/>
          <w:szCs w:val="28"/>
          <w:lang w:bidi="bg-BG"/>
        </w:rPr>
        <w:t>„Престъпления по чл. 123 НК. Лекарски грешки“.</w:t>
      </w:r>
    </w:p>
    <w:p w14:paraId="22179D3A" w14:textId="77777777" w:rsidR="00EC1E22" w:rsidRDefault="00EC1E22" w:rsidP="00EC1E22">
      <w:pPr>
        <w:pStyle w:val="a4"/>
        <w:ind w:left="-567" w:right="-427" w:firstLine="567"/>
        <w:jc w:val="both"/>
        <w:rPr>
          <w:rFonts w:ascii="Times New Roman" w:eastAsia="Times New Roman" w:hAnsi="Times New Roman" w:cs="Times New Roman"/>
          <w:sz w:val="28"/>
          <w:szCs w:val="28"/>
          <w:lang w:bidi="bg-BG"/>
        </w:rPr>
      </w:pPr>
      <w:r>
        <w:rPr>
          <w:rFonts w:ascii="Times New Roman" w:eastAsia="Times New Roman" w:hAnsi="Times New Roman" w:cs="Times New Roman"/>
          <w:sz w:val="28"/>
          <w:szCs w:val="28"/>
          <w:lang w:bidi="bg-BG"/>
        </w:rPr>
        <w:t xml:space="preserve">Съдебните служители са участвали в организирани семинарни обучения на теми: „Специфики в работната среда и ключови подходи за ефективни работни процеси във финансово – счетоводните звена в органите на съдебната власт“, „Управление на съдебната администрация в ПРБ“, „Документооборот и деловодна дейност в ПРБ“, „Внедряване на услуга </w:t>
      </w:r>
      <w:proofErr w:type="spellStart"/>
      <w:r>
        <w:rPr>
          <w:rFonts w:ascii="Times New Roman" w:eastAsia="Times New Roman" w:hAnsi="Times New Roman" w:cs="Times New Roman"/>
          <w:sz w:val="28"/>
          <w:szCs w:val="28"/>
          <w:lang w:bidi="bg-BG"/>
        </w:rPr>
        <w:t>Active</w:t>
      </w:r>
      <w:proofErr w:type="spellEnd"/>
      <w:r>
        <w:rPr>
          <w:rFonts w:ascii="Times New Roman" w:eastAsia="Times New Roman" w:hAnsi="Times New Roman" w:cs="Times New Roman"/>
          <w:sz w:val="28"/>
          <w:szCs w:val="28"/>
          <w:lang w:bidi="bg-BG"/>
        </w:rPr>
        <w:t xml:space="preserve"> </w:t>
      </w:r>
      <w:proofErr w:type="spellStart"/>
      <w:r>
        <w:rPr>
          <w:rFonts w:ascii="Times New Roman" w:eastAsia="Times New Roman" w:hAnsi="Times New Roman" w:cs="Times New Roman"/>
          <w:sz w:val="28"/>
          <w:szCs w:val="28"/>
          <w:lang w:bidi="bg-BG"/>
        </w:rPr>
        <w:t>Directory</w:t>
      </w:r>
      <w:proofErr w:type="spellEnd"/>
      <w:r>
        <w:rPr>
          <w:rFonts w:ascii="Times New Roman" w:eastAsia="Times New Roman" w:hAnsi="Times New Roman" w:cs="Times New Roman"/>
          <w:sz w:val="28"/>
          <w:szCs w:val="28"/>
          <w:lang w:bidi="bg-BG"/>
        </w:rPr>
        <w:t xml:space="preserve">  в мрежата на ПРБ. Информационна сигурност – постоянни заплахи“, „Подобряване на работата с УИС </w:t>
      </w:r>
      <w:r>
        <w:rPr>
          <w:rFonts w:ascii="Times New Roman" w:eastAsia="Times New Roman" w:hAnsi="Times New Roman" w:cs="Times New Roman"/>
          <w:sz w:val="28"/>
          <w:szCs w:val="28"/>
          <w:lang w:bidi="bg-BG"/>
        </w:rPr>
        <w:lastRenderedPageBreak/>
        <w:t xml:space="preserve">- 3 и справочен модул </w:t>
      </w:r>
      <w:proofErr w:type="spellStart"/>
      <w:r>
        <w:rPr>
          <w:rFonts w:ascii="Times New Roman" w:eastAsia="Times New Roman" w:hAnsi="Times New Roman" w:cs="Times New Roman"/>
          <w:sz w:val="28"/>
          <w:szCs w:val="28"/>
          <w:lang w:bidi="bg-BG"/>
        </w:rPr>
        <w:t>Oracle</w:t>
      </w:r>
      <w:proofErr w:type="spellEnd"/>
      <w:r>
        <w:rPr>
          <w:rFonts w:ascii="Times New Roman" w:eastAsia="Times New Roman" w:hAnsi="Times New Roman" w:cs="Times New Roman"/>
          <w:sz w:val="28"/>
          <w:szCs w:val="28"/>
          <w:lang w:bidi="bg-BG"/>
        </w:rPr>
        <w:t xml:space="preserve"> BI. Взаимодействие с ЕИСПП - отстраняване на върнати грешки в УИС от ядрото на ЕИСПП“, „Защита на личните данни“, „УИС практикум“, „Ключови подходи за ефективни работни процеси в Прокуратурата на Република България“, „Етично поведение на съдебния служител в ПРБ: конфликти – решаване и предотвратяване“, „Защита на класифицираната информация в организационните единици от състава на ПРБ. Сигурност на КИС. Процедури по ЗСРС. Отбранително-мобилизационна подготовка“, „Вътрешни правила за мрежова и информационна сигурност в ПРБ. Киберзаплахи и киберзащита“, „Управление на човешките ресурси. Обществени поръчки.  Стопанисване на сградния фонд и управление на имуществото. Организация на бюджетния процес. Прокуратурите като от третостепенни разпоредители с бюджет. Текущо счетоводно отчитане На стопанските операции и достоверно представяне на финансовото и имуществено състояние на прокуратурата. Прилагане на системи за финансово управление и контрол в ПРБ. Експлоатация и поддръжка на СМПС, сградни инсталации и системи. Извършване на ремонт или подмяна на дефектирали системи“, „Документална сигурност на класифицираната информация“, „Внедряване на Офис 365 в ПРБ. Политика за информационна сигурност. </w:t>
      </w:r>
      <w:proofErr w:type="spellStart"/>
      <w:r>
        <w:rPr>
          <w:rFonts w:ascii="Times New Roman" w:eastAsia="Times New Roman" w:hAnsi="Times New Roman" w:cs="Times New Roman"/>
          <w:sz w:val="28"/>
          <w:szCs w:val="28"/>
          <w:lang w:val="en-US" w:bidi="bg-BG"/>
        </w:rPr>
        <w:t>Qradar</w:t>
      </w:r>
      <w:proofErr w:type="spellEnd"/>
      <w:r>
        <w:rPr>
          <w:rFonts w:ascii="Times New Roman" w:eastAsia="Times New Roman" w:hAnsi="Times New Roman" w:cs="Times New Roman"/>
          <w:sz w:val="28"/>
          <w:szCs w:val="28"/>
          <w:lang w:bidi="bg-BG"/>
        </w:rPr>
        <w:t xml:space="preserve"> и анализ на </w:t>
      </w:r>
      <w:proofErr w:type="spellStart"/>
      <w:r>
        <w:rPr>
          <w:rFonts w:ascii="Times New Roman" w:eastAsia="Times New Roman" w:hAnsi="Times New Roman" w:cs="Times New Roman"/>
          <w:sz w:val="28"/>
          <w:szCs w:val="28"/>
          <w:lang w:bidi="bg-BG"/>
        </w:rPr>
        <w:t>логове</w:t>
      </w:r>
      <w:proofErr w:type="spellEnd"/>
      <w:r>
        <w:rPr>
          <w:rFonts w:ascii="Times New Roman" w:eastAsia="Times New Roman" w:hAnsi="Times New Roman" w:cs="Times New Roman"/>
          <w:sz w:val="28"/>
          <w:szCs w:val="28"/>
          <w:lang w:bidi="bg-BG"/>
        </w:rPr>
        <w:t>.</w:t>
      </w:r>
      <w:r>
        <w:rPr>
          <w:rFonts w:ascii="Times New Roman" w:eastAsia="Times New Roman" w:hAnsi="Times New Roman" w:cs="Times New Roman"/>
          <w:sz w:val="28"/>
          <w:szCs w:val="28"/>
          <w:lang w:val="en-US" w:bidi="bg-BG"/>
        </w:rPr>
        <w:t xml:space="preserve"> </w:t>
      </w:r>
      <w:r>
        <w:rPr>
          <w:rFonts w:ascii="Times New Roman" w:eastAsia="Times New Roman" w:hAnsi="Times New Roman" w:cs="Times New Roman"/>
          <w:sz w:val="28"/>
          <w:szCs w:val="28"/>
          <w:lang w:bidi="bg-BG"/>
        </w:rPr>
        <w:t xml:space="preserve">Работа с Windows Server </w:t>
      </w:r>
      <w:proofErr w:type="spellStart"/>
      <w:r>
        <w:rPr>
          <w:rFonts w:ascii="Times New Roman" w:eastAsia="Times New Roman" w:hAnsi="Times New Roman" w:cs="Times New Roman"/>
          <w:sz w:val="28"/>
          <w:szCs w:val="28"/>
          <w:lang w:bidi="bg-BG"/>
        </w:rPr>
        <w:t>Hybrid</w:t>
      </w:r>
      <w:proofErr w:type="spellEnd"/>
      <w:r>
        <w:rPr>
          <w:rFonts w:ascii="Times New Roman" w:eastAsia="Times New Roman" w:hAnsi="Times New Roman" w:cs="Times New Roman"/>
          <w:sz w:val="28"/>
          <w:szCs w:val="28"/>
          <w:lang w:bidi="bg-BG"/>
        </w:rPr>
        <w:t xml:space="preserve"> </w:t>
      </w:r>
      <w:proofErr w:type="spellStart"/>
      <w:r>
        <w:rPr>
          <w:rFonts w:ascii="Times New Roman" w:eastAsia="Times New Roman" w:hAnsi="Times New Roman" w:cs="Times New Roman"/>
          <w:sz w:val="28"/>
          <w:szCs w:val="28"/>
          <w:lang w:bidi="bg-BG"/>
        </w:rPr>
        <w:t>Core</w:t>
      </w:r>
      <w:proofErr w:type="spellEnd"/>
      <w:r>
        <w:rPr>
          <w:rFonts w:ascii="Times New Roman" w:eastAsia="Times New Roman" w:hAnsi="Times New Roman" w:cs="Times New Roman"/>
          <w:sz w:val="28"/>
          <w:szCs w:val="28"/>
          <w:lang w:bidi="bg-BG"/>
        </w:rPr>
        <w:t xml:space="preserve">“, „Подобряване на статистическата отчетност. Ефективно прилагане на указанията за информационната дейност в ПРБ за полугодие и на годишна база. Работа и отчетност по тематични справки. Дейности за ефективно подаване на статистическа отчетност“, „Специфики в работната среда и ключови подходи за ефективни работни процеси във финансово - счетоводните звена в ОСВ“. </w:t>
      </w:r>
    </w:p>
    <w:p w14:paraId="7EF77928" w14:textId="77777777" w:rsidR="00EC1E22" w:rsidRDefault="00EC1E22" w:rsidP="00EC1E22">
      <w:pPr>
        <w:widowControl w:val="0"/>
        <w:tabs>
          <w:tab w:val="left" w:pos="426"/>
        </w:tabs>
        <w:spacing w:after="0" w:line="240" w:lineRule="auto"/>
        <w:ind w:left="-567" w:firstLine="567"/>
        <w:jc w:val="both"/>
        <w:rPr>
          <w:rFonts w:ascii="Times New Roman" w:eastAsia="Times New Roman" w:hAnsi="Times New Roman" w:cs="Times New Roman"/>
          <w:b/>
          <w:color w:val="000000"/>
          <w:sz w:val="28"/>
          <w:szCs w:val="28"/>
          <w:lang w:bidi="bg-BG"/>
        </w:rPr>
      </w:pPr>
    </w:p>
    <w:p w14:paraId="76EFF17C" w14:textId="77777777" w:rsidR="00EC1E22" w:rsidRDefault="00EC1E22" w:rsidP="00EC1E22">
      <w:pPr>
        <w:tabs>
          <w:tab w:val="left" w:pos="0"/>
          <w:tab w:val="left" w:pos="284"/>
        </w:tabs>
        <w:overflowPunct w:val="0"/>
        <w:autoSpaceDE w:val="0"/>
        <w:autoSpaceDN w:val="0"/>
        <w:adjustRightInd w:val="0"/>
        <w:spacing w:after="0" w:line="240" w:lineRule="auto"/>
        <w:ind w:left="-567" w:right="-427" w:firstLine="567"/>
        <w:jc w:val="both"/>
        <w:textAlignment w:val="baseline"/>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4. Образувани дисциплинарни производства срещу магистрати. Наложени наказания на прокурори и следователи – няма.</w:t>
      </w:r>
      <w:r>
        <w:rPr>
          <w:rFonts w:ascii="Times New Roman" w:eastAsia="Cambria" w:hAnsi="Times New Roman" w:cs="Times New Roman"/>
          <w:color w:val="000000" w:themeColor="text1"/>
          <w:sz w:val="28"/>
          <w:szCs w:val="28"/>
        </w:rPr>
        <w:t xml:space="preserve"> </w:t>
      </w:r>
    </w:p>
    <w:p w14:paraId="6E1008EC" w14:textId="77777777" w:rsidR="00EC1E22" w:rsidRDefault="00EC1E22" w:rsidP="00EC1E22">
      <w:pPr>
        <w:tabs>
          <w:tab w:val="left" w:pos="426"/>
        </w:tabs>
        <w:overflowPunct w:val="0"/>
        <w:autoSpaceDE w:val="0"/>
        <w:autoSpaceDN w:val="0"/>
        <w:adjustRightInd w:val="0"/>
        <w:spacing w:after="0" w:line="240" w:lineRule="auto"/>
        <w:ind w:left="-567" w:right="-427" w:firstLine="567"/>
        <w:jc w:val="both"/>
        <w:textAlignment w:val="baseline"/>
        <w:rPr>
          <w:rFonts w:ascii="Times New Roman" w:eastAsia="Times New Roman" w:hAnsi="Times New Roman" w:cs="Times New Roman"/>
          <w:sz w:val="28"/>
          <w:szCs w:val="28"/>
        </w:rPr>
      </w:pPr>
    </w:p>
    <w:p w14:paraId="78332EB5" w14:textId="77777777" w:rsidR="00EC1E22" w:rsidRDefault="00EC1E22" w:rsidP="00EC1E22">
      <w:pPr>
        <w:pStyle w:val="aa"/>
        <w:tabs>
          <w:tab w:val="left" w:pos="426"/>
          <w:tab w:val="left" w:pos="851"/>
        </w:tabs>
        <w:overflowPunct w:val="0"/>
        <w:autoSpaceDE w:val="0"/>
        <w:autoSpaceDN w:val="0"/>
        <w:adjustRightInd w:val="0"/>
        <w:spacing w:after="0" w:line="240" w:lineRule="auto"/>
        <w:ind w:left="-567" w:right="-427" w:firstLine="567"/>
        <w:jc w:val="both"/>
        <w:textAlignment w:val="baseline"/>
        <w:rPr>
          <w:rFonts w:ascii="Times New Roman" w:eastAsia="Times New Roman" w:hAnsi="Times New Roman" w:cs="Times New Roman"/>
          <w:sz w:val="28"/>
          <w:szCs w:val="28"/>
          <w:lang w:bidi="bg-BG"/>
        </w:rPr>
      </w:pPr>
      <w:r>
        <w:rPr>
          <w:rFonts w:ascii="Times New Roman" w:eastAsia="Times New Roman" w:hAnsi="Times New Roman" w:cs="Times New Roman"/>
          <w:b/>
          <w:sz w:val="28"/>
          <w:szCs w:val="28"/>
          <w:lang w:bidi="bg-BG"/>
        </w:rPr>
        <w:t xml:space="preserve">5. Поощрения на магистрати – </w:t>
      </w:r>
      <w:r>
        <w:rPr>
          <w:rFonts w:ascii="Times New Roman" w:eastAsia="Times New Roman" w:hAnsi="Times New Roman" w:cs="Times New Roman"/>
          <w:sz w:val="28"/>
          <w:szCs w:val="28"/>
          <w:lang w:bidi="bg-BG"/>
        </w:rPr>
        <w:t>Със Заповед № РД -08-1935 от 05.12.2025 г. на Главен прокурор на Р България за проявен висок професионализъм и образцово изпълнение на служебните задължения е поощрен с парична награда и грамота административният ръководител на ОП – Пазарджик.</w:t>
      </w:r>
    </w:p>
    <w:p w14:paraId="5E93C206" w14:textId="77777777" w:rsidR="00EC1E22" w:rsidRDefault="00EC1E22" w:rsidP="00EC1E22">
      <w:pPr>
        <w:tabs>
          <w:tab w:val="left" w:pos="426"/>
        </w:tabs>
        <w:overflowPunct w:val="0"/>
        <w:autoSpaceDE w:val="0"/>
        <w:autoSpaceDN w:val="0"/>
        <w:adjustRightInd w:val="0"/>
        <w:spacing w:after="0" w:line="240" w:lineRule="auto"/>
        <w:ind w:left="-567" w:right="-427" w:firstLine="567"/>
        <w:jc w:val="both"/>
        <w:textAlignment w:val="baseline"/>
        <w:rPr>
          <w:color w:val="FF0000"/>
        </w:rPr>
      </w:pPr>
    </w:p>
    <w:p w14:paraId="6B3E4713"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ab/>
      </w:r>
    </w:p>
    <w:p w14:paraId="4F3996FE" w14:textId="77777777" w:rsidR="00EC1E22" w:rsidRDefault="00EC1E22" w:rsidP="00EC1E22">
      <w:pPr>
        <w:tabs>
          <w:tab w:val="left" w:pos="426"/>
        </w:tabs>
        <w:suppressAutoHyphens/>
        <w:spacing w:after="0" w:line="240" w:lineRule="auto"/>
        <w:ind w:left="-567" w:right="-427" w:firstLine="567"/>
        <w:jc w:val="center"/>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РАЗДЕЛ VІ</w:t>
      </w:r>
      <w:r>
        <w:rPr>
          <w:rFonts w:ascii="Times New Roman" w:eastAsia="Cambria" w:hAnsi="Times New Roman" w:cs="Times New Roman"/>
          <w:b/>
          <w:color w:val="000000" w:themeColor="text1"/>
          <w:sz w:val="28"/>
          <w:szCs w:val="28"/>
          <w:lang w:val="en-US"/>
        </w:rPr>
        <w:t>II</w:t>
      </w:r>
      <w:r>
        <w:rPr>
          <w:rFonts w:ascii="Times New Roman" w:eastAsia="Cambria" w:hAnsi="Times New Roman" w:cs="Times New Roman"/>
          <w:b/>
          <w:color w:val="000000" w:themeColor="text1"/>
          <w:sz w:val="28"/>
          <w:szCs w:val="28"/>
        </w:rPr>
        <w:t>. НАТОВАРЕНОСТ НА ПРОКУРОРСКИТЕ И НА СЛЕДСТВЕНИТЕ ОРГАНИ.</w:t>
      </w:r>
    </w:p>
    <w:p w14:paraId="2F98B4CB"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b/>
          <w:color w:val="000000" w:themeColor="text1"/>
          <w:sz w:val="28"/>
          <w:szCs w:val="28"/>
          <w:lang w:eastAsia="en-US"/>
        </w:rPr>
      </w:pPr>
    </w:p>
    <w:p w14:paraId="105CABE9"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b/>
          <w:color w:val="000000" w:themeColor="text1"/>
          <w:sz w:val="28"/>
          <w:szCs w:val="28"/>
          <w:lang w:eastAsia="en-US"/>
        </w:rPr>
      </w:pPr>
      <w:r>
        <w:rPr>
          <w:rFonts w:ascii="Times New Roman" w:eastAsia="Times New Roman" w:hAnsi="Times New Roman" w:cs="Times New Roman"/>
          <w:b/>
          <w:color w:val="000000" w:themeColor="text1"/>
          <w:sz w:val="28"/>
          <w:szCs w:val="28"/>
          <w:lang w:eastAsia="en-US"/>
        </w:rPr>
        <w:t>Обем на прокурорската дейност и натовареност на прокурорите.</w:t>
      </w:r>
    </w:p>
    <w:p w14:paraId="4E3BCD28" w14:textId="77777777" w:rsidR="00EC1E22" w:rsidRDefault="00EC1E22" w:rsidP="00EC1E22">
      <w:pPr>
        <w:tabs>
          <w:tab w:val="left" w:pos="426"/>
        </w:tabs>
        <w:spacing w:after="0" w:line="240" w:lineRule="auto"/>
        <w:ind w:left="-567" w:right="-427" w:firstLine="567"/>
        <w:jc w:val="both"/>
        <w:rPr>
          <w:rFonts w:ascii="Times New Roman" w:eastAsia="Times New Roman" w:hAnsi="Times New Roman" w:cs="Times New Roman"/>
          <w:color w:val="FF0000"/>
          <w:sz w:val="28"/>
          <w:szCs w:val="28"/>
          <w:lang w:eastAsia="en-US"/>
        </w:rPr>
      </w:pPr>
      <w:r>
        <w:rPr>
          <w:rFonts w:ascii="Times New Roman" w:eastAsia="Times New Roman" w:hAnsi="Times New Roman" w:cs="Times New Roman"/>
          <w:color w:val="000000" w:themeColor="text1"/>
          <w:sz w:val="28"/>
          <w:szCs w:val="28"/>
          <w:lang w:eastAsia="en-US"/>
        </w:rPr>
        <w:t>В настоящия раздел на доклада, анализът на обема на дейност и средна натовареност на прокуратурите от региона, ще бъде представен, съобразно Указанието за организация на информационната дейност в ПРБ</w:t>
      </w:r>
      <w:r>
        <w:rPr>
          <w:rFonts w:ascii="Times New Roman" w:eastAsia="Times New Roman" w:hAnsi="Times New Roman" w:cs="Times New Roman"/>
          <w:sz w:val="28"/>
          <w:szCs w:val="28"/>
          <w:lang w:eastAsia="en-US"/>
        </w:rPr>
        <w:t xml:space="preserve"> и на основание Правила за измерване на натовареността на прокуратурите и индивидуалната натовареност на всеки прокурор и следовател, приети от ВСС.</w:t>
      </w:r>
    </w:p>
    <w:p w14:paraId="673A4441"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b/>
          <w:color w:val="000000" w:themeColor="text1"/>
          <w:sz w:val="28"/>
          <w:szCs w:val="28"/>
          <w:u w:val="single"/>
        </w:rPr>
      </w:pPr>
    </w:p>
    <w:p w14:paraId="415971D1"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Общо за</w:t>
      </w:r>
      <w:r>
        <w:rPr>
          <w:rFonts w:ascii="Times New Roman" w:eastAsia="Cambria" w:hAnsi="Times New Roman" w:cs="Times New Roman"/>
          <w:b/>
          <w:color w:val="000000" w:themeColor="text1"/>
          <w:sz w:val="28"/>
          <w:szCs w:val="28"/>
        </w:rPr>
        <w:t xml:space="preserve"> района на Окръжна прокуратура Пазарджик</w:t>
      </w:r>
      <w:r>
        <w:rPr>
          <w:rFonts w:ascii="Times New Roman" w:eastAsia="Cambria" w:hAnsi="Times New Roman" w:cs="Times New Roman"/>
          <w:color w:val="000000" w:themeColor="text1"/>
          <w:sz w:val="28"/>
          <w:szCs w:val="28"/>
        </w:rPr>
        <w:t xml:space="preserve"> по видове надзори, съгласно въведените показатели в </w:t>
      </w:r>
      <w:r>
        <w:rPr>
          <w:rFonts w:ascii="Times New Roman" w:eastAsia="Cambria" w:hAnsi="Times New Roman" w:cs="Times New Roman"/>
          <w:b/>
          <w:color w:val="000000" w:themeColor="text1"/>
          <w:sz w:val="28"/>
          <w:szCs w:val="28"/>
        </w:rPr>
        <w:t xml:space="preserve">Табл. 5.1. Дейност по основни показатели на </w:t>
      </w:r>
      <w:r>
        <w:rPr>
          <w:rFonts w:ascii="Times New Roman" w:eastAsia="Cambria" w:hAnsi="Times New Roman" w:cs="Times New Roman"/>
          <w:b/>
          <w:color w:val="000000" w:themeColor="text1"/>
          <w:sz w:val="28"/>
          <w:szCs w:val="28"/>
        </w:rPr>
        <w:lastRenderedPageBreak/>
        <w:t>прокурорите и следователите:</w:t>
      </w:r>
      <w:r>
        <w:rPr>
          <w:rFonts w:ascii="Times New Roman" w:eastAsia="Cambria" w:hAnsi="Times New Roman" w:cs="Times New Roman"/>
          <w:b/>
          <w:color w:val="000000" w:themeColor="text1"/>
          <w:sz w:val="28"/>
          <w:szCs w:val="28"/>
        </w:rPr>
        <w:tab/>
      </w:r>
      <w:r>
        <w:rPr>
          <w:rFonts w:ascii="Times New Roman" w:eastAsia="Cambria" w:hAnsi="Times New Roman" w:cs="Times New Roman"/>
          <w:b/>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r>
        <w:rPr>
          <w:rFonts w:ascii="Times New Roman" w:eastAsia="Cambria" w:hAnsi="Times New Roman" w:cs="Times New Roman"/>
          <w:color w:val="000000" w:themeColor="text1"/>
          <w:sz w:val="28"/>
          <w:szCs w:val="28"/>
        </w:rPr>
        <w:tab/>
      </w:r>
    </w:p>
    <w:p w14:paraId="1F70309A" w14:textId="77777777" w:rsidR="00EC1E22" w:rsidRDefault="00EC1E22" w:rsidP="00EC1E22">
      <w:pPr>
        <w:tabs>
          <w:tab w:val="left" w:pos="426"/>
        </w:tabs>
        <w:spacing w:after="0" w:line="240" w:lineRule="auto"/>
        <w:ind w:right="-42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1. Следствен надзор:</w:t>
      </w:r>
    </w:p>
    <w:p w14:paraId="2E0536F9"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b/>
          <w:color w:val="000000" w:themeColor="text1"/>
          <w:sz w:val="28"/>
          <w:szCs w:val="28"/>
          <w:u w:val="single"/>
        </w:rPr>
      </w:pPr>
      <w:r>
        <w:rPr>
          <w:rFonts w:ascii="Times New Roman" w:eastAsia="Cambria" w:hAnsi="Times New Roman" w:cs="Times New Roman"/>
          <w:b/>
          <w:color w:val="000000" w:themeColor="text1"/>
          <w:sz w:val="28"/>
          <w:szCs w:val="28"/>
          <w:u w:val="single"/>
        </w:rPr>
        <w:t>Прокурорски актове по преписки:</w:t>
      </w:r>
    </w:p>
    <w:p w14:paraId="191ABCAF"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 xml:space="preserve">1.1. Наблюдавани преписки </w:t>
      </w:r>
      <w:r>
        <w:rPr>
          <w:rFonts w:ascii="Times New Roman" w:eastAsia="Cambria" w:hAnsi="Times New Roman" w:cs="Times New Roman"/>
          <w:color w:val="000000" w:themeColor="text1"/>
          <w:sz w:val="28"/>
          <w:szCs w:val="28"/>
        </w:rPr>
        <w:t xml:space="preserve">– 6673 бр. за 2025 г., при 6210 бр. за 2024 г. и 6134 бр. за 2023 г. </w:t>
      </w:r>
    </w:p>
    <w:p w14:paraId="31C55154"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 xml:space="preserve">1.2. Новообразувани преписки </w:t>
      </w:r>
      <w:r>
        <w:rPr>
          <w:rFonts w:ascii="Times New Roman" w:eastAsia="Cambria" w:hAnsi="Times New Roman" w:cs="Times New Roman"/>
          <w:color w:val="000000" w:themeColor="text1"/>
          <w:sz w:val="28"/>
          <w:szCs w:val="28"/>
        </w:rPr>
        <w:t xml:space="preserve">– 5946 бр. за 2025 г., при 5454 бр. за 2024 г. и 5484 бр. за 2023 г. </w:t>
      </w:r>
    </w:p>
    <w:p w14:paraId="79CDCF7D"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 xml:space="preserve">1.3. Решени преписки </w:t>
      </w:r>
      <w:r>
        <w:rPr>
          <w:rFonts w:ascii="Times New Roman" w:eastAsia="Cambria" w:hAnsi="Times New Roman" w:cs="Times New Roman"/>
          <w:color w:val="000000" w:themeColor="text1"/>
          <w:sz w:val="28"/>
          <w:szCs w:val="28"/>
        </w:rPr>
        <w:t xml:space="preserve">– 6447 бр. за 2025 г., при 5935 бр. за 2024 г. и 5799 бр. за 2023 г. </w:t>
      </w:r>
    </w:p>
    <w:p w14:paraId="679DF5A7"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1.4. Решени с отказ за образуване на ДП</w:t>
      </w:r>
      <w:r>
        <w:rPr>
          <w:rFonts w:ascii="Times New Roman" w:eastAsia="Cambria" w:hAnsi="Times New Roman" w:cs="Times New Roman"/>
          <w:color w:val="000000" w:themeColor="text1"/>
          <w:sz w:val="28"/>
          <w:szCs w:val="28"/>
        </w:rPr>
        <w:t xml:space="preserve"> – 3817 бр. за 2025 г., при 3160 бр. за 2024 г. и </w:t>
      </w:r>
      <w:r>
        <w:rPr>
          <w:rFonts w:ascii="Times New Roman" w:eastAsia="Cambria" w:hAnsi="Times New Roman" w:cs="Times New Roman"/>
          <w:color w:val="000000" w:themeColor="text1"/>
          <w:sz w:val="28"/>
          <w:szCs w:val="28"/>
          <w:lang w:val="en-US"/>
        </w:rPr>
        <w:t>3145</w:t>
      </w:r>
      <w:r>
        <w:rPr>
          <w:rFonts w:ascii="Times New Roman" w:eastAsia="Cambria" w:hAnsi="Times New Roman" w:cs="Times New Roman"/>
          <w:color w:val="000000" w:themeColor="text1"/>
          <w:sz w:val="28"/>
          <w:szCs w:val="28"/>
        </w:rPr>
        <w:t xml:space="preserve"> бр. за 2023 г.</w:t>
      </w:r>
      <w:r>
        <w:rPr>
          <w:rFonts w:ascii="Times New Roman" w:eastAsia="Cambria" w:hAnsi="Times New Roman" w:cs="Times New Roman"/>
          <w:color w:val="FF0000"/>
          <w:sz w:val="28"/>
          <w:szCs w:val="28"/>
        </w:rPr>
        <w:t xml:space="preserve"> </w:t>
      </w:r>
    </w:p>
    <w:p w14:paraId="31E602A0"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1.5. Решени с образуване на ДП</w:t>
      </w:r>
      <w:r>
        <w:rPr>
          <w:rFonts w:ascii="Times New Roman" w:eastAsia="Cambria" w:hAnsi="Times New Roman" w:cs="Times New Roman"/>
          <w:color w:val="000000" w:themeColor="text1"/>
          <w:sz w:val="28"/>
          <w:szCs w:val="28"/>
        </w:rPr>
        <w:t xml:space="preserve"> – 1269 бр. за 2025 г., при 1218 бр. за 2024 г. и </w:t>
      </w:r>
      <w:r>
        <w:rPr>
          <w:rFonts w:ascii="Times New Roman" w:eastAsia="Cambria" w:hAnsi="Times New Roman" w:cs="Times New Roman"/>
          <w:color w:val="000000" w:themeColor="text1"/>
          <w:sz w:val="28"/>
          <w:szCs w:val="28"/>
          <w:lang w:val="en-US"/>
        </w:rPr>
        <w:t>1198</w:t>
      </w:r>
      <w:r>
        <w:rPr>
          <w:rFonts w:ascii="Times New Roman" w:eastAsia="Cambria" w:hAnsi="Times New Roman" w:cs="Times New Roman"/>
          <w:color w:val="000000" w:themeColor="text1"/>
          <w:sz w:val="28"/>
          <w:szCs w:val="28"/>
        </w:rPr>
        <w:t xml:space="preserve"> бр. за 2023 г.</w:t>
      </w:r>
    </w:p>
    <w:p w14:paraId="5FFF90BC" w14:textId="77777777" w:rsidR="00EC1E22" w:rsidRDefault="00EC1E22" w:rsidP="00EC1E22">
      <w:pPr>
        <w:tabs>
          <w:tab w:val="left" w:pos="426"/>
        </w:tab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b/>
          <w:color w:val="000000" w:themeColor="text1"/>
          <w:sz w:val="28"/>
          <w:szCs w:val="28"/>
        </w:rPr>
        <w:t>1.6. Решени инстанционни преписки</w:t>
      </w:r>
      <w:r>
        <w:rPr>
          <w:rFonts w:ascii="Times New Roman" w:eastAsia="Cambria" w:hAnsi="Times New Roman" w:cs="Times New Roman"/>
          <w:color w:val="000000" w:themeColor="text1"/>
          <w:sz w:val="28"/>
          <w:szCs w:val="28"/>
        </w:rPr>
        <w:t xml:space="preserve"> – 271 бр. за 2025 г., при 414 за 2024 г. и  </w:t>
      </w:r>
      <w:r>
        <w:rPr>
          <w:rFonts w:ascii="Times New Roman" w:eastAsia="Cambria" w:hAnsi="Times New Roman" w:cs="Times New Roman"/>
          <w:color w:val="000000" w:themeColor="text1"/>
          <w:sz w:val="28"/>
          <w:szCs w:val="28"/>
          <w:lang w:val="en-US"/>
        </w:rPr>
        <w:t xml:space="preserve">201 </w:t>
      </w:r>
      <w:r>
        <w:rPr>
          <w:rFonts w:ascii="Times New Roman" w:eastAsia="Cambria" w:hAnsi="Times New Roman" w:cs="Times New Roman"/>
          <w:color w:val="000000" w:themeColor="text1"/>
          <w:sz w:val="28"/>
          <w:szCs w:val="28"/>
        </w:rPr>
        <w:t>бр.</w:t>
      </w:r>
      <w:r>
        <w:rPr>
          <w:rFonts w:ascii="Times New Roman" w:eastAsia="Cambria" w:hAnsi="Times New Roman" w:cs="Times New Roman"/>
          <w:color w:val="000000" w:themeColor="text1"/>
          <w:sz w:val="28"/>
          <w:szCs w:val="28"/>
        </w:rPr>
        <w:tab/>
      </w:r>
    </w:p>
    <w:p w14:paraId="6A60699D" w14:textId="77777777" w:rsidR="00EC1E22" w:rsidRDefault="00EC1E22" w:rsidP="00EC1E22">
      <w:pPr>
        <w:tabs>
          <w:tab w:val="left" w:pos="426"/>
        </w:tabs>
        <w:spacing w:after="0" w:line="240" w:lineRule="auto"/>
        <w:ind w:right="-427"/>
        <w:jc w:val="both"/>
        <w:rPr>
          <w:rFonts w:ascii="Times New Roman" w:eastAsia="Cambria" w:hAnsi="Times New Roman" w:cs="Times New Roman"/>
          <w:color w:val="000000" w:themeColor="text1"/>
          <w:sz w:val="28"/>
          <w:szCs w:val="28"/>
        </w:rPr>
      </w:pPr>
    </w:p>
    <w:p w14:paraId="0FC0ACC4" w14:textId="77777777" w:rsidR="00EC1E22" w:rsidRDefault="00EC1E22" w:rsidP="00EC1E22">
      <w:pPr>
        <w:spacing w:after="0" w:line="240" w:lineRule="auto"/>
        <w:ind w:left="-567" w:right="-427"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През 2025 г. е налице увеличение на броя на наблюдавани преписки в района на ОП - Пазарджик с 463 бр. наблюдавани /</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7.46</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спрямо 2024 г. и с 539 бр. /</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8.79</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в сравнение с 2023 г. и увеличение на новообразуваните спрямо предходните две години, съответно с 492 бр. спрямо 2024 г. /9.02 %/ и с 462 бр. новообразувани /8,42</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в сравнение с 2023 г.</w:t>
      </w:r>
    </w:p>
    <w:p w14:paraId="6DB090ED" w14:textId="77777777" w:rsidR="00EC1E22" w:rsidRDefault="00EC1E22" w:rsidP="00EC1E22">
      <w:pPr>
        <w:spacing w:after="0" w:line="240" w:lineRule="auto"/>
        <w:ind w:left="-567" w:right="-427"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През 2025 г. е налице увеличение на броя на решените преписки в района на ОП - Пазарджик с 512 бр. решени /</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8.63</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спрямо 2024 г. и с 648 бр. спрямо 2023 г./</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11.17</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w:t>
      </w:r>
    </w:p>
    <w:p w14:paraId="29B4B701" w14:textId="77777777" w:rsidR="00EC1E22" w:rsidRDefault="00EC1E22" w:rsidP="00EC1E22">
      <w:pPr>
        <w:spacing w:after="0" w:line="240" w:lineRule="auto"/>
        <w:ind w:left="-567" w:right="-427" w:firstLine="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През 2025 г. е налице увеличение на броя на решените преписки с отказ за района на ОП Пазарджик, както и на тези решени с образуване, съответно с 657 бр. решени с отказ спрямо 2024 г. /20.8 %/ и с 672 бр. решени с отказ /21.37%/ спрямо 2023 г. , както и с 51 бр. решени с образуване /4.2 %/ спрямо 2024 г. и с 71 бр. решени с образуване /</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5.93</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 xml:space="preserve"> </w:t>
      </w:r>
      <w:r>
        <w:rPr>
          <w:rFonts w:ascii="Times New Roman" w:eastAsia="Times New Roman" w:hAnsi="Times New Roman" w:cs="Times New Roman"/>
          <w:bCs/>
          <w:sz w:val="28"/>
          <w:szCs w:val="28"/>
        </w:rPr>
        <w:t xml:space="preserve">/ спрямо 2023 г. </w:t>
      </w:r>
    </w:p>
    <w:p w14:paraId="14DD7237" w14:textId="77777777" w:rsidR="00EC1E22" w:rsidRDefault="00EC1E22" w:rsidP="00EC1E22">
      <w:pPr>
        <w:tabs>
          <w:tab w:val="left" w:pos="0"/>
        </w:tabs>
        <w:spacing w:after="0" w:line="240" w:lineRule="auto"/>
        <w:ind w:left="-567" w:right="-42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ab/>
        <w:t>Решените инстанционни преписки намаляват със 143 бр. /34.54 % / съпоставени с 2024 г., а спрямо 2023 г. нарастват със 70 бр. /34.83%/.</w:t>
      </w:r>
    </w:p>
    <w:p w14:paraId="0E735B16" w14:textId="77777777" w:rsidR="00EC1E22" w:rsidRDefault="00EC1E22" w:rsidP="00EC1E22">
      <w:pPr>
        <w:pStyle w:val="a4"/>
        <w:tabs>
          <w:tab w:val="left" w:pos="0"/>
        </w:tabs>
        <w:ind w:left="-567" w:right="-427"/>
        <w:jc w:val="both"/>
        <w:rPr>
          <w:rFonts w:ascii="Times New Roman" w:eastAsia="Cambria" w:hAnsi="Times New Roman" w:cs="Times New Roman"/>
          <w:b/>
          <w:color w:val="000000" w:themeColor="text1"/>
          <w:sz w:val="28"/>
          <w:szCs w:val="28"/>
        </w:rPr>
      </w:pPr>
      <w:r>
        <w:rPr>
          <w:rFonts w:ascii="Times New Roman" w:eastAsia="Cambria" w:hAnsi="Times New Roman" w:cs="Times New Roman"/>
          <w:b/>
          <w:color w:val="000000" w:themeColor="text1"/>
          <w:sz w:val="28"/>
          <w:szCs w:val="28"/>
        </w:rPr>
        <w:tab/>
      </w:r>
    </w:p>
    <w:p w14:paraId="7A7A09D2" w14:textId="77777777" w:rsidR="00EC1E22" w:rsidRDefault="00EC1E22" w:rsidP="00EC1E22">
      <w:pPr>
        <w:pStyle w:val="a4"/>
        <w:tabs>
          <w:tab w:val="left" w:pos="0"/>
        </w:tabs>
        <w:ind w:left="-567" w:right="-427"/>
        <w:jc w:val="both"/>
        <w:rPr>
          <w:rFonts w:ascii="Times New Roman" w:eastAsia="Cambria" w:hAnsi="Times New Roman" w:cs="Times New Roman"/>
          <w:b/>
          <w:color w:val="000000" w:themeColor="text1"/>
          <w:sz w:val="28"/>
          <w:szCs w:val="28"/>
          <w:u w:val="single"/>
        </w:rPr>
      </w:pPr>
      <w:r>
        <w:rPr>
          <w:rFonts w:ascii="Times New Roman" w:eastAsia="Cambria" w:hAnsi="Times New Roman" w:cs="Times New Roman"/>
          <w:b/>
          <w:color w:val="000000" w:themeColor="text1"/>
          <w:sz w:val="28"/>
          <w:szCs w:val="28"/>
        </w:rPr>
        <w:tab/>
        <w:t xml:space="preserve">2. </w:t>
      </w:r>
      <w:r>
        <w:rPr>
          <w:rFonts w:ascii="Times New Roman" w:eastAsia="Cambria" w:hAnsi="Times New Roman" w:cs="Times New Roman"/>
          <w:b/>
          <w:color w:val="000000" w:themeColor="text1"/>
          <w:sz w:val="28"/>
          <w:szCs w:val="28"/>
          <w:u w:val="single"/>
        </w:rPr>
        <w:t>Прокурорски актове по</w:t>
      </w:r>
      <w:r>
        <w:rPr>
          <w:rFonts w:ascii="Times New Roman" w:eastAsia="Cambria" w:hAnsi="Times New Roman" w:cs="Times New Roman"/>
          <w:color w:val="000000" w:themeColor="text1"/>
          <w:sz w:val="28"/>
          <w:szCs w:val="28"/>
          <w:u w:val="single"/>
        </w:rPr>
        <w:t xml:space="preserve"> </w:t>
      </w:r>
      <w:r>
        <w:rPr>
          <w:rFonts w:ascii="Times New Roman" w:eastAsia="Cambria" w:hAnsi="Times New Roman" w:cs="Times New Roman"/>
          <w:b/>
          <w:color w:val="000000" w:themeColor="text1"/>
          <w:sz w:val="28"/>
          <w:szCs w:val="28"/>
          <w:u w:val="single"/>
        </w:rPr>
        <w:t>ДП:</w:t>
      </w:r>
    </w:p>
    <w:p w14:paraId="36D7AB49" w14:textId="77777777" w:rsidR="00EC1E22" w:rsidRDefault="00EC1E22" w:rsidP="00EC1E22">
      <w:pPr>
        <w:pStyle w:val="a4"/>
        <w:tabs>
          <w:tab w:val="left" w:pos="0"/>
        </w:tabs>
        <w:ind w:left="-567" w:right="-427"/>
        <w:jc w:val="both"/>
        <w:rPr>
          <w:rFonts w:ascii="Times New Roman" w:eastAsia="Cambria" w:hAnsi="Times New Roman" w:cs="Times New Roman"/>
          <w:color w:val="FF0000"/>
          <w:sz w:val="28"/>
          <w:szCs w:val="28"/>
        </w:rPr>
      </w:pPr>
      <w:r>
        <w:rPr>
          <w:rFonts w:ascii="Times New Roman" w:eastAsia="Cambria" w:hAnsi="Times New Roman" w:cs="Times New Roman"/>
          <w:b/>
          <w:color w:val="000000" w:themeColor="text1"/>
          <w:sz w:val="28"/>
          <w:szCs w:val="28"/>
        </w:rPr>
        <w:tab/>
        <w:t xml:space="preserve">2.1. Наблюдавани ДП </w:t>
      </w:r>
      <w:r>
        <w:rPr>
          <w:rFonts w:ascii="Times New Roman" w:eastAsia="Cambria" w:hAnsi="Times New Roman" w:cs="Times New Roman"/>
          <w:b/>
          <w:color w:val="000000" w:themeColor="text1"/>
          <w:sz w:val="28"/>
          <w:szCs w:val="28"/>
          <w:lang w:val="en-US"/>
        </w:rPr>
        <w:t>(</w:t>
      </w:r>
      <w:r>
        <w:rPr>
          <w:rFonts w:ascii="Times New Roman" w:eastAsia="Cambria" w:hAnsi="Times New Roman" w:cs="Times New Roman"/>
          <w:b/>
          <w:color w:val="000000" w:themeColor="text1"/>
          <w:sz w:val="28"/>
          <w:szCs w:val="28"/>
        </w:rPr>
        <w:t>вкл. прекратените по давност</w:t>
      </w:r>
      <w:r>
        <w:rPr>
          <w:rFonts w:ascii="Times New Roman" w:eastAsia="Cambria" w:hAnsi="Times New Roman" w:cs="Times New Roman"/>
          <w:b/>
          <w:color w:val="000000" w:themeColor="text1"/>
          <w:sz w:val="28"/>
          <w:szCs w:val="28"/>
          <w:lang w:val="en-US"/>
        </w:rPr>
        <w:t>)</w:t>
      </w:r>
      <w:r>
        <w:rPr>
          <w:rFonts w:ascii="Times New Roman" w:eastAsia="Cambria" w:hAnsi="Times New Roman" w:cs="Times New Roman"/>
          <w:color w:val="000000" w:themeColor="text1"/>
          <w:sz w:val="28"/>
          <w:szCs w:val="28"/>
        </w:rPr>
        <w:t xml:space="preserve"> – 6923 бр. за 2025г</w:t>
      </w:r>
      <w:r>
        <w:rPr>
          <w:rFonts w:ascii="Times New Roman" w:eastAsia="Cambria" w:hAnsi="Times New Roman" w:cs="Times New Roman"/>
          <w:color w:val="FF0000"/>
          <w:sz w:val="28"/>
          <w:szCs w:val="28"/>
        </w:rPr>
        <w:t xml:space="preserve">., </w:t>
      </w:r>
      <w:r>
        <w:rPr>
          <w:rFonts w:ascii="Times New Roman" w:eastAsia="Cambria" w:hAnsi="Times New Roman" w:cs="Times New Roman"/>
          <w:color w:val="000000" w:themeColor="text1"/>
          <w:sz w:val="28"/>
          <w:szCs w:val="28"/>
        </w:rPr>
        <w:t xml:space="preserve">при 7123 бр. за 2024 </w:t>
      </w:r>
      <w:r>
        <w:rPr>
          <w:rFonts w:ascii="Times New Roman" w:eastAsia="Cambria" w:hAnsi="Times New Roman" w:cs="Times New Roman"/>
          <w:sz w:val="28"/>
          <w:szCs w:val="28"/>
        </w:rPr>
        <w:t>г. и 6205 бр. за 2023 г.</w:t>
      </w:r>
    </w:p>
    <w:p w14:paraId="0AD2DBE0" w14:textId="77777777" w:rsidR="00EC1E22" w:rsidRDefault="00EC1E22" w:rsidP="00EC1E22">
      <w:pPr>
        <w:pStyle w:val="a4"/>
        <w:tabs>
          <w:tab w:val="left" w:pos="0"/>
        </w:tabs>
        <w:ind w:left="-567" w:right="-427"/>
        <w:jc w:val="both"/>
        <w:rPr>
          <w:rFonts w:ascii="Times New Roman" w:eastAsia="Cambria" w:hAnsi="Times New Roman" w:cs="Times New Roman"/>
          <w:color w:val="FF0000"/>
          <w:sz w:val="28"/>
          <w:szCs w:val="28"/>
        </w:rPr>
      </w:pPr>
      <w:r>
        <w:rPr>
          <w:rFonts w:ascii="Times New Roman" w:eastAsia="Cambria" w:hAnsi="Times New Roman" w:cs="Times New Roman"/>
          <w:color w:val="000000" w:themeColor="text1"/>
          <w:sz w:val="28"/>
          <w:szCs w:val="28"/>
        </w:rPr>
        <w:tab/>
      </w:r>
      <w:r>
        <w:rPr>
          <w:rFonts w:ascii="Times New Roman" w:eastAsia="Cambria" w:hAnsi="Times New Roman" w:cs="Times New Roman"/>
          <w:b/>
          <w:color w:val="000000" w:themeColor="text1"/>
          <w:sz w:val="28"/>
          <w:szCs w:val="28"/>
        </w:rPr>
        <w:t>2.2. Наблюдавани ДП - без прекратените по давност</w:t>
      </w:r>
      <w:r>
        <w:rPr>
          <w:rFonts w:ascii="Times New Roman" w:eastAsia="Cambria" w:hAnsi="Times New Roman" w:cs="Times New Roman"/>
          <w:color w:val="000000" w:themeColor="text1"/>
          <w:sz w:val="28"/>
          <w:szCs w:val="28"/>
        </w:rPr>
        <w:t xml:space="preserve"> – 4886  бр. за 2025 г., при 4640 бр. за 2024</w:t>
      </w:r>
      <w:r>
        <w:rPr>
          <w:rFonts w:ascii="Times New Roman" w:eastAsia="Cambria" w:hAnsi="Times New Roman" w:cs="Times New Roman"/>
          <w:sz w:val="28"/>
          <w:szCs w:val="28"/>
        </w:rPr>
        <w:t xml:space="preserve"> г. и 4349 бр. за 2023 г.</w:t>
      </w:r>
    </w:p>
    <w:p w14:paraId="5649D75F"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ab/>
      </w:r>
      <w:r>
        <w:rPr>
          <w:rFonts w:ascii="Times New Roman" w:eastAsia="Cambria" w:hAnsi="Times New Roman" w:cs="Times New Roman"/>
          <w:b/>
          <w:color w:val="000000" w:themeColor="text1"/>
          <w:sz w:val="28"/>
          <w:szCs w:val="28"/>
        </w:rPr>
        <w:t xml:space="preserve">2.3. Новообразувани ДП – </w:t>
      </w:r>
      <w:r>
        <w:rPr>
          <w:rFonts w:ascii="Times New Roman" w:eastAsia="Cambria" w:hAnsi="Times New Roman" w:cs="Times New Roman"/>
          <w:color w:val="000000" w:themeColor="text1"/>
          <w:sz w:val="28"/>
          <w:szCs w:val="28"/>
        </w:rPr>
        <w:t>2710 бр. за 2025 г., при 2810 бр. за 2024 г.</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и 2565 бр. за 2023 г.</w:t>
      </w:r>
    </w:p>
    <w:p w14:paraId="69D83DC9" w14:textId="77777777" w:rsidR="00EC1E22" w:rsidRDefault="00EC1E22" w:rsidP="00EC1E22">
      <w:pPr>
        <w:pStyle w:val="a4"/>
        <w:tabs>
          <w:tab w:val="left" w:pos="0"/>
        </w:tabs>
        <w:ind w:left="-567" w:right="-427"/>
        <w:jc w:val="both"/>
        <w:rPr>
          <w:rFonts w:ascii="Times New Roman" w:eastAsia="Cambria" w:hAnsi="Times New Roman" w:cs="Times New Roman"/>
          <w:color w:val="FF0000"/>
          <w:sz w:val="28"/>
          <w:szCs w:val="28"/>
          <w:lang w:val="en-US"/>
        </w:rPr>
      </w:pPr>
      <w:r>
        <w:rPr>
          <w:rFonts w:ascii="Times New Roman" w:eastAsia="Cambria" w:hAnsi="Times New Roman" w:cs="Times New Roman"/>
          <w:color w:val="000000" w:themeColor="text1"/>
          <w:sz w:val="28"/>
          <w:szCs w:val="28"/>
        </w:rPr>
        <w:tab/>
      </w:r>
      <w:r>
        <w:rPr>
          <w:rFonts w:ascii="Times New Roman" w:eastAsia="Cambria" w:hAnsi="Times New Roman" w:cs="Times New Roman"/>
          <w:b/>
          <w:color w:val="000000" w:themeColor="text1"/>
          <w:sz w:val="28"/>
          <w:szCs w:val="28"/>
        </w:rPr>
        <w:t>2.4. Решени ДП</w:t>
      </w:r>
      <w:r>
        <w:rPr>
          <w:rFonts w:ascii="Times New Roman" w:eastAsia="Cambria" w:hAnsi="Times New Roman" w:cs="Times New Roman"/>
          <w:color w:val="000000" w:themeColor="text1"/>
          <w:sz w:val="28"/>
          <w:szCs w:val="28"/>
        </w:rPr>
        <w:t xml:space="preserve"> – 4902 бр. за 2025 г., при 5253 бр. за </w:t>
      </w:r>
      <w:r>
        <w:rPr>
          <w:rFonts w:ascii="Times New Roman" w:eastAsia="Cambria" w:hAnsi="Times New Roman" w:cs="Times New Roman"/>
          <w:sz w:val="28"/>
          <w:szCs w:val="28"/>
        </w:rPr>
        <w:t>2024 г. и 4527 бр. за 2023 г.</w:t>
      </w:r>
    </w:p>
    <w:p w14:paraId="27C745E7" w14:textId="77777777" w:rsidR="00EC1E22" w:rsidRDefault="00EC1E22" w:rsidP="00EC1E22">
      <w:pPr>
        <w:pStyle w:val="a4"/>
        <w:tabs>
          <w:tab w:val="left" w:pos="0"/>
        </w:tabs>
        <w:ind w:left="-567" w:right="-427"/>
        <w:jc w:val="both"/>
        <w:rPr>
          <w:rFonts w:ascii="Times New Roman" w:eastAsia="Cambria" w:hAnsi="Times New Roman" w:cs="Times New Roman"/>
          <w:color w:val="FF0000"/>
          <w:sz w:val="28"/>
          <w:szCs w:val="28"/>
        </w:rPr>
      </w:pPr>
      <w:r>
        <w:rPr>
          <w:rFonts w:ascii="Times New Roman" w:eastAsia="Cambria" w:hAnsi="Times New Roman" w:cs="Times New Roman"/>
          <w:color w:val="000000" w:themeColor="text1"/>
          <w:sz w:val="28"/>
          <w:szCs w:val="28"/>
        </w:rPr>
        <w:tab/>
      </w:r>
      <w:r>
        <w:rPr>
          <w:rFonts w:ascii="Times New Roman" w:eastAsia="Cambria" w:hAnsi="Times New Roman" w:cs="Times New Roman"/>
          <w:b/>
          <w:color w:val="000000" w:themeColor="text1"/>
          <w:sz w:val="28"/>
          <w:szCs w:val="28"/>
        </w:rPr>
        <w:t xml:space="preserve">2.5. Прекратени ДП </w:t>
      </w:r>
      <w:r>
        <w:rPr>
          <w:rFonts w:ascii="Times New Roman" w:eastAsia="Cambria" w:hAnsi="Times New Roman" w:cs="Times New Roman"/>
          <w:b/>
          <w:color w:val="000000" w:themeColor="text1"/>
          <w:sz w:val="28"/>
          <w:szCs w:val="28"/>
          <w:lang w:val="en-US"/>
        </w:rPr>
        <w:t>(</w:t>
      </w:r>
      <w:r>
        <w:rPr>
          <w:rFonts w:ascii="Times New Roman" w:eastAsia="Cambria" w:hAnsi="Times New Roman" w:cs="Times New Roman"/>
          <w:b/>
          <w:color w:val="000000" w:themeColor="text1"/>
          <w:sz w:val="28"/>
          <w:szCs w:val="28"/>
        </w:rPr>
        <w:t>вкл. по давност</w:t>
      </w:r>
      <w:r>
        <w:rPr>
          <w:rFonts w:ascii="Times New Roman" w:eastAsia="Cambria" w:hAnsi="Times New Roman" w:cs="Times New Roman"/>
          <w:b/>
          <w:color w:val="000000" w:themeColor="text1"/>
          <w:sz w:val="28"/>
          <w:szCs w:val="28"/>
          <w:lang w:val="en-US"/>
        </w:rPr>
        <w:t>)</w:t>
      </w:r>
      <w:r>
        <w:rPr>
          <w:rFonts w:ascii="Times New Roman" w:eastAsia="Cambria" w:hAnsi="Times New Roman" w:cs="Times New Roman"/>
          <w:color w:val="000000" w:themeColor="text1"/>
          <w:sz w:val="28"/>
          <w:szCs w:val="28"/>
        </w:rPr>
        <w:t xml:space="preserve"> – 3183 бр. за 2025 г., при 3482 бр. за 2024</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г. и 2860 бр. за 2023 г.</w:t>
      </w:r>
    </w:p>
    <w:p w14:paraId="22D16864"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ab/>
      </w:r>
      <w:r>
        <w:rPr>
          <w:rFonts w:ascii="Times New Roman" w:eastAsia="Cambria" w:hAnsi="Times New Roman" w:cs="Times New Roman"/>
          <w:b/>
          <w:color w:val="000000" w:themeColor="text1"/>
          <w:sz w:val="28"/>
          <w:szCs w:val="28"/>
        </w:rPr>
        <w:t xml:space="preserve">2.6. Спрени ДП </w:t>
      </w:r>
      <w:r>
        <w:rPr>
          <w:rFonts w:ascii="Times New Roman" w:eastAsia="Cambria" w:hAnsi="Times New Roman" w:cs="Times New Roman"/>
          <w:b/>
          <w:sz w:val="28"/>
          <w:szCs w:val="28"/>
        </w:rPr>
        <w:t>през отчетния период</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 832 бр. за 2025 г., при 878 бр. за 2024 г. и 789 бр. за 2023 г.</w:t>
      </w:r>
    </w:p>
    <w:p w14:paraId="569E8404"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lastRenderedPageBreak/>
        <w:tab/>
      </w:r>
      <w:r>
        <w:rPr>
          <w:rFonts w:ascii="Times New Roman" w:eastAsia="Cambria" w:hAnsi="Times New Roman" w:cs="Times New Roman"/>
          <w:b/>
          <w:color w:val="000000" w:themeColor="text1"/>
          <w:sz w:val="28"/>
          <w:szCs w:val="28"/>
        </w:rPr>
        <w:t>2.7. Внесени в съда ДП</w:t>
      </w:r>
      <w:r>
        <w:rPr>
          <w:rFonts w:ascii="Times New Roman" w:eastAsia="Cambria" w:hAnsi="Times New Roman" w:cs="Times New Roman"/>
          <w:color w:val="000000" w:themeColor="text1"/>
          <w:sz w:val="28"/>
          <w:szCs w:val="28"/>
          <w:lang w:val="en-US"/>
        </w:rPr>
        <w:t xml:space="preserve"> </w:t>
      </w:r>
      <w:r>
        <w:rPr>
          <w:rFonts w:ascii="Times New Roman" w:eastAsia="Cambria" w:hAnsi="Times New Roman" w:cs="Times New Roman"/>
          <w:color w:val="000000" w:themeColor="text1"/>
          <w:sz w:val="28"/>
          <w:szCs w:val="28"/>
        </w:rPr>
        <w:t>– 789 бр. за 2025 г</w:t>
      </w:r>
      <w:r>
        <w:rPr>
          <w:rFonts w:ascii="Times New Roman" w:eastAsia="Cambria" w:hAnsi="Times New Roman" w:cs="Times New Roman"/>
          <w:sz w:val="28"/>
          <w:szCs w:val="28"/>
        </w:rPr>
        <w:t>., при 822 бр. за 2024 г. и</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795 бр. за 2023 г.</w:t>
      </w:r>
    </w:p>
    <w:p w14:paraId="1A3B766E" w14:textId="77777777" w:rsidR="00EC1E22" w:rsidRDefault="00EC1E22" w:rsidP="00EC1E22">
      <w:pPr>
        <w:pStyle w:val="a4"/>
        <w:tabs>
          <w:tab w:val="left" w:pos="0"/>
        </w:tabs>
        <w:ind w:left="-567" w:right="-427"/>
        <w:jc w:val="both"/>
        <w:rPr>
          <w:rFonts w:ascii="Times New Roman" w:eastAsia="Cambria" w:hAnsi="Times New Roman" w:cs="Times New Roman"/>
          <w:color w:val="FF0000"/>
          <w:sz w:val="28"/>
          <w:szCs w:val="28"/>
        </w:rPr>
      </w:pPr>
      <w:r>
        <w:rPr>
          <w:rFonts w:ascii="Times New Roman" w:eastAsia="Cambria" w:hAnsi="Times New Roman" w:cs="Times New Roman"/>
          <w:sz w:val="28"/>
          <w:szCs w:val="28"/>
        </w:rPr>
        <w:tab/>
      </w:r>
      <w:r>
        <w:rPr>
          <w:rFonts w:ascii="Times New Roman" w:eastAsia="Cambria" w:hAnsi="Times New Roman" w:cs="Times New Roman"/>
          <w:b/>
          <w:sz w:val="28"/>
          <w:szCs w:val="28"/>
        </w:rPr>
        <w:t xml:space="preserve">2.8. Прокурорски актове, внесени в съда </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 789 бр. за 2025 г., при 823 бр. за 2024 г. и 798 бр. за 2023 г.</w:t>
      </w:r>
    </w:p>
    <w:p w14:paraId="763B1FCB"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ab/>
      </w:r>
      <w:r>
        <w:rPr>
          <w:rFonts w:ascii="Times New Roman" w:eastAsia="Cambria" w:hAnsi="Times New Roman" w:cs="Times New Roman"/>
          <w:b/>
          <w:color w:val="000000" w:themeColor="text1"/>
          <w:sz w:val="28"/>
          <w:szCs w:val="28"/>
        </w:rPr>
        <w:t xml:space="preserve">2.9. </w:t>
      </w:r>
      <w:r>
        <w:rPr>
          <w:rFonts w:ascii="Times New Roman" w:eastAsia="Cambria" w:hAnsi="Times New Roman" w:cs="Times New Roman"/>
          <w:b/>
          <w:sz w:val="28"/>
          <w:szCs w:val="28"/>
        </w:rPr>
        <w:t>Лица по внесените в съда прокурорски актове</w:t>
      </w:r>
      <w:r>
        <w:rPr>
          <w:rFonts w:ascii="Times New Roman" w:eastAsia="Cambria" w:hAnsi="Times New Roman" w:cs="Times New Roman"/>
          <w:sz w:val="28"/>
          <w:szCs w:val="28"/>
          <w:lang w:val="en-US"/>
        </w:rPr>
        <w:t xml:space="preserve"> </w:t>
      </w:r>
      <w:r>
        <w:rPr>
          <w:rFonts w:ascii="Times New Roman" w:eastAsia="Cambria" w:hAnsi="Times New Roman" w:cs="Times New Roman"/>
          <w:sz w:val="28"/>
          <w:szCs w:val="28"/>
        </w:rPr>
        <w:t>– 845 бр. за 2025 г., при 874 бр. за 2024 г. и 874 бр. за 2023 г.</w:t>
      </w:r>
    </w:p>
    <w:p w14:paraId="553F93AC"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sz w:val="28"/>
          <w:szCs w:val="28"/>
        </w:rPr>
        <w:tab/>
      </w:r>
      <w:r>
        <w:rPr>
          <w:rFonts w:ascii="Times New Roman" w:eastAsia="Cambria" w:hAnsi="Times New Roman" w:cs="Times New Roman"/>
          <w:b/>
          <w:sz w:val="28"/>
          <w:szCs w:val="28"/>
        </w:rPr>
        <w:t>2.10. Изпратени ДП по компетентност</w:t>
      </w:r>
      <w:r>
        <w:rPr>
          <w:rFonts w:ascii="Times New Roman" w:eastAsia="Cambria" w:hAnsi="Times New Roman" w:cs="Times New Roman"/>
          <w:sz w:val="28"/>
          <w:szCs w:val="28"/>
        </w:rPr>
        <w:t xml:space="preserve"> – 98 бр. за 2025 г., при 76 за 2024г. и 97 бр. за 2023 г. </w:t>
      </w:r>
    </w:p>
    <w:p w14:paraId="0311211A"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color w:val="000000" w:themeColor="text1"/>
          <w:sz w:val="28"/>
          <w:szCs w:val="28"/>
        </w:rPr>
        <w:tab/>
      </w:r>
      <w:r>
        <w:rPr>
          <w:rFonts w:ascii="Times New Roman" w:eastAsia="Cambria" w:hAnsi="Times New Roman" w:cs="Times New Roman"/>
          <w:b/>
          <w:color w:val="000000" w:themeColor="text1"/>
          <w:sz w:val="28"/>
          <w:szCs w:val="28"/>
        </w:rPr>
        <w:t>2.11. Брой съдебни заседания по МНО</w:t>
      </w:r>
      <w:r>
        <w:rPr>
          <w:rFonts w:ascii="Times New Roman" w:eastAsia="Cambria" w:hAnsi="Times New Roman" w:cs="Times New Roman"/>
          <w:color w:val="000000" w:themeColor="text1"/>
          <w:sz w:val="28"/>
          <w:szCs w:val="28"/>
        </w:rPr>
        <w:t xml:space="preserve"> – 97 бр. за 2025 г., </w:t>
      </w:r>
      <w:r>
        <w:rPr>
          <w:rFonts w:ascii="Times New Roman" w:eastAsia="Cambria" w:hAnsi="Times New Roman" w:cs="Times New Roman"/>
          <w:sz w:val="28"/>
          <w:szCs w:val="28"/>
        </w:rPr>
        <w:t>при 133 бр. за 2024 г.</w:t>
      </w:r>
      <w:r>
        <w:rPr>
          <w:rFonts w:ascii="Times New Roman" w:eastAsia="Cambria" w:hAnsi="Times New Roman" w:cs="Times New Roman"/>
          <w:color w:val="FF0000"/>
          <w:sz w:val="28"/>
          <w:szCs w:val="28"/>
        </w:rPr>
        <w:t xml:space="preserve"> </w:t>
      </w:r>
      <w:r>
        <w:rPr>
          <w:rFonts w:ascii="Times New Roman" w:eastAsia="Cambria" w:hAnsi="Times New Roman" w:cs="Times New Roman"/>
          <w:sz w:val="28"/>
          <w:szCs w:val="28"/>
        </w:rPr>
        <w:t xml:space="preserve">и 163 бр. за 2023 г. </w:t>
      </w:r>
    </w:p>
    <w:p w14:paraId="432FA056" w14:textId="77777777" w:rsidR="00EC1E22" w:rsidRDefault="00EC1E22" w:rsidP="00EC1E22">
      <w:pPr>
        <w:pStyle w:val="a4"/>
        <w:tabs>
          <w:tab w:val="left" w:pos="0"/>
        </w:tabs>
        <w:ind w:left="-567" w:right="-427"/>
        <w:jc w:val="both"/>
        <w:rPr>
          <w:rFonts w:ascii="Times New Roman" w:eastAsia="Cambria" w:hAnsi="Times New Roman" w:cs="Times New Roman"/>
          <w:b/>
          <w:sz w:val="28"/>
          <w:szCs w:val="28"/>
        </w:rPr>
      </w:pPr>
    </w:p>
    <w:p w14:paraId="1526DE6F"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b/>
          <w:sz w:val="28"/>
          <w:szCs w:val="28"/>
        </w:rPr>
        <w:tab/>
      </w:r>
      <w:r>
        <w:rPr>
          <w:rFonts w:ascii="Times New Roman" w:eastAsia="Cambria" w:hAnsi="Times New Roman" w:cs="Times New Roman"/>
          <w:sz w:val="28"/>
          <w:szCs w:val="28"/>
        </w:rPr>
        <w:t>През 2025 г. намалява броя на наблюдаваните ДП с 200 бр. спрямо 2024 г. /2.8%/ и се увеличава със 718 бр. /11.57 %/ спрямо 2023 г. Новообразуваните ДП също намаляват с 100бр. спрямо 2024 г. /3.56%/ и се увеличава с 145 бр. /5.65%/ спрямо 2023 г.</w:t>
      </w:r>
    </w:p>
    <w:p w14:paraId="0F3014FB"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Решените ДП намаляват спрямо предходната 2024 г. с 351 бр. /6.68 %/ и се увеличават с 375 бр. /8.28 %/ спрямо 2023 г., същото важи и за прекратените ДП – намаляват с 299 бр. /8.59 %/ спрямо 2024 г. и се увеличават с 323 бр. /11.29%/ спрямо 2023 г. Спрените ДП също намаляват с 46 бр. /5.24/ спрямо 2024 г. и се увеличават с 43 бр. /5.45/ спрямо 2023 г. </w:t>
      </w:r>
    </w:p>
    <w:p w14:paraId="42A18DB1" w14:textId="77777777" w:rsidR="00EC1E22" w:rsidRDefault="00EC1E22" w:rsidP="00EC1E22">
      <w:pPr>
        <w:pStyle w:val="a4"/>
        <w:tabs>
          <w:tab w:val="left" w:pos="0"/>
        </w:tabs>
        <w:ind w:left="-567" w:right="-42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Pr>
          <w:rFonts w:ascii="Times New Roman" w:eastAsia="Cambria" w:hAnsi="Times New Roman" w:cs="Times New Roman"/>
          <w:sz w:val="28"/>
          <w:szCs w:val="28"/>
        </w:rPr>
        <w:t xml:space="preserve">Внесените в съд ДП намаляват спрямо предходните две години, като спрямо 2024 г. техният брой е намалял с 33 бр. /4.01%/ и с 6 бр. /0.75 %/ спрямо 2023 г. </w:t>
      </w:r>
    </w:p>
    <w:p w14:paraId="4AC59518"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r>
        <w:rPr>
          <w:rFonts w:ascii="Times New Roman" w:eastAsia="Cambria" w:hAnsi="Times New Roman" w:cs="Times New Roman"/>
          <w:b/>
          <w:sz w:val="28"/>
          <w:szCs w:val="28"/>
        </w:rPr>
        <w:tab/>
        <w:t xml:space="preserve"> </w:t>
      </w:r>
      <w:r>
        <w:rPr>
          <w:rFonts w:ascii="Times New Roman" w:eastAsia="Cambria" w:hAnsi="Times New Roman" w:cs="Times New Roman"/>
          <w:sz w:val="28"/>
          <w:szCs w:val="28"/>
        </w:rPr>
        <w:t xml:space="preserve">Броят на съдебните заседания по МНО е намалял с 36 бр. //27.1 % спрямо предходната 2024 г. и с 66 бр. /40.5 %/ спрямо 2023 г. </w:t>
      </w:r>
    </w:p>
    <w:p w14:paraId="18F592BC" w14:textId="77777777" w:rsidR="00EC1E22" w:rsidRDefault="00EC1E22" w:rsidP="00EC1E22">
      <w:pPr>
        <w:pStyle w:val="a4"/>
        <w:tabs>
          <w:tab w:val="left" w:pos="0"/>
        </w:tabs>
        <w:ind w:left="-567" w:right="-427"/>
        <w:jc w:val="both"/>
        <w:rPr>
          <w:rFonts w:ascii="Times New Roman" w:eastAsia="Cambria" w:hAnsi="Times New Roman" w:cs="Times New Roman"/>
          <w:sz w:val="28"/>
          <w:szCs w:val="28"/>
        </w:rPr>
      </w:pPr>
    </w:p>
    <w:p w14:paraId="200B080C" w14:textId="77777777" w:rsidR="00EC1E22" w:rsidRDefault="00EC1E22" w:rsidP="00EC1E22">
      <w:pPr>
        <w:tabs>
          <w:tab w:val="left" w:pos="426"/>
        </w:tabs>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3. Наказателно – съдебен надзор:</w:t>
      </w:r>
    </w:p>
    <w:p w14:paraId="62406E5A" w14:textId="77777777" w:rsidR="00EC1E22" w:rsidRDefault="00EC1E22" w:rsidP="00EC1E22">
      <w:pPr>
        <w:spacing w:after="0" w:line="240" w:lineRule="auto"/>
        <w:ind w:left="-567" w:firstLine="567"/>
        <w:jc w:val="both"/>
        <w:outlineLvl w:val="0"/>
        <w:rPr>
          <w:rFonts w:ascii="Times New Roman" w:eastAsia="Times New Roman" w:hAnsi="Times New Roman" w:cs="Times New Roman"/>
          <w:color w:val="000000" w:themeColor="text1"/>
          <w:sz w:val="28"/>
          <w:szCs w:val="28"/>
        </w:rPr>
      </w:pPr>
      <w:r>
        <w:rPr>
          <w:rFonts w:ascii="Times New Roman" w:eastAsia="Times New Roman" w:hAnsi="Times New Roman" w:cs="Times New Roman"/>
          <w:b/>
          <w:sz w:val="28"/>
          <w:szCs w:val="28"/>
        </w:rPr>
        <w:t xml:space="preserve">3.1. Върнати от съда дела – </w:t>
      </w:r>
      <w:r>
        <w:rPr>
          <w:rFonts w:ascii="Times New Roman" w:eastAsia="Times New Roman" w:hAnsi="Times New Roman" w:cs="Times New Roman"/>
          <w:sz w:val="28"/>
          <w:szCs w:val="28"/>
        </w:rPr>
        <w:t xml:space="preserve">21 бр. за 2025 г., </w:t>
      </w:r>
      <w:r>
        <w:rPr>
          <w:rFonts w:ascii="Times New Roman" w:eastAsia="Times New Roman" w:hAnsi="Times New Roman" w:cs="Times New Roman"/>
          <w:color w:val="000000" w:themeColor="text1"/>
          <w:sz w:val="28"/>
          <w:szCs w:val="28"/>
        </w:rPr>
        <w:t>при 27 бр.</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color w:val="000000" w:themeColor="text1"/>
          <w:sz w:val="28"/>
          <w:szCs w:val="28"/>
        </w:rPr>
        <w:t>за 2024 г.</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themeColor="text1"/>
          <w:sz w:val="28"/>
          <w:szCs w:val="28"/>
        </w:rPr>
        <w:t xml:space="preserve">и 31 бр. за 2023 г. </w:t>
      </w:r>
    </w:p>
    <w:p w14:paraId="5CD66329" w14:textId="77777777" w:rsidR="00EC1E22" w:rsidRDefault="00EC1E22" w:rsidP="00EC1E22">
      <w:pPr>
        <w:spacing w:after="0" w:line="240" w:lineRule="auto"/>
        <w:ind w:left="-567" w:firstLine="567"/>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3.2. Протести срещу връщане на дела от съда </w:t>
      </w:r>
      <w:r>
        <w:rPr>
          <w:rFonts w:ascii="Times New Roman" w:eastAsia="Times New Roman" w:hAnsi="Times New Roman" w:cs="Times New Roman"/>
          <w:sz w:val="28"/>
          <w:szCs w:val="28"/>
        </w:rPr>
        <w:t>– 13 бр. за 2025 г., при 27 бр. за 2024 г. и 17 бр. за 2023 г.</w:t>
      </w:r>
    </w:p>
    <w:p w14:paraId="27A70E63"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3.3. Въззивни и касационни</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протести </w:t>
      </w:r>
      <w:r>
        <w:rPr>
          <w:rFonts w:ascii="Times New Roman" w:eastAsia="Times New Roman" w:hAnsi="Times New Roman" w:cs="Times New Roman"/>
          <w:sz w:val="28"/>
          <w:szCs w:val="28"/>
        </w:rPr>
        <w:t xml:space="preserve">– 13 бр. за 2025 г., при 22 бр. за 2024 г. и 20 бр. за 2023 г. </w:t>
      </w:r>
    </w:p>
    <w:p w14:paraId="4EDFB46C"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3.4. Осъдени и санкционирани лица с влязъл в сила съдебен акт</w:t>
      </w:r>
      <w:r>
        <w:rPr>
          <w:rFonts w:ascii="Times New Roman" w:eastAsia="Times New Roman" w:hAnsi="Times New Roman" w:cs="Times New Roman"/>
          <w:sz w:val="28"/>
          <w:szCs w:val="28"/>
        </w:rPr>
        <w:t xml:space="preserve"> – 798 бр. за 2025 г., при 820 бр. за 2024 г. и 808 бр. за 2023 г. </w:t>
      </w:r>
    </w:p>
    <w:p w14:paraId="77195F82"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3.5. Оправдани лица с влязъл в сила съдебен акт</w:t>
      </w:r>
      <w:r>
        <w:rPr>
          <w:rFonts w:ascii="Times New Roman" w:eastAsia="Times New Roman" w:hAnsi="Times New Roman" w:cs="Times New Roman"/>
          <w:sz w:val="28"/>
          <w:szCs w:val="28"/>
        </w:rPr>
        <w:t xml:space="preserve"> – 16 бр. за 2025 г., при 16 бр. за 2024 г. и 22 бр. за 2023 г.</w:t>
      </w:r>
    </w:p>
    <w:p w14:paraId="2371FAFC"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3.6. Участия в съдебни заседания по НСН</w:t>
      </w:r>
      <w:r>
        <w:rPr>
          <w:rFonts w:ascii="Times New Roman" w:eastAsia="Times New Roman" w:hAnsi="Times New Roman" w:cs="Times New Roman"/>
          <w:sz w:val="28"/>
          <w:szCs w:val="28"/>
        </w:rPr>
        <w:t xml:space="preserve"> – 1871 бр. за 2025 г., при 1692</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бр. за 2024 г. и 1660 бр. за 2023 г. </w:t>
      </w:r>
    </w:p>
    <w:p w14:paraId="66B659A8"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p>
    <w:p w14:paraId="7C9A6023" w14:textId="77777777" w:rsidR="00EC1E22" w:rsidRDefault="00EC1E22" w:rsidP="00EC1E22">
      <w:pPr>
        <w:tabs>
          <w:tab w:val="left" w:pos="426"/>
        </w:tabs>
        <w:spacing w:after="0" w:line="24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4.Изпълнение на наказанията:</w:t>
      </w:r>
    </w:p>
    <w:p w14:paraId="49672450"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4.1. Присъди и споразумения, получени за изпълнение – </w:t>
      </w:r>
      <w:r>
        <w:rPr>
          <w:rFonts w:ascii="Times New Roman" w:eastAsia="Times New Roman" w:hAnsi="Times New Roman" w:cs="Times New Roman"/>
          <w:sz w:val="28"/>
          <w:szCs w:val="28"/>
        </w:rPr>
        <w:t>354 бр. за 2025 г., при 465</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бр. за 2024 г. и 426 бр. за 2023 г. </w:t>
      </w:r>
    </w:p>
    <w:p w14:paraId="14E8E5CF"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4.2. Приведени присъди в изпълнение</w:t>
      </w:r>
      <w:r>
        <w:rPr>
          <w:rFonts w:ascii="Times New Roman" w:eastAsia="Times New Roman" w:hAnsi="Times New Roman" w:cs="Times New Roman"/>
          <w:sz w:val="28"/>
          <w:szCs w:val="28"/>
        </w:rPr>
        <w:t xml:space="preserve"> – 359 бр. за 2025 г., при 466</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бр. за 2024 г. и 431 бр. за 2023 г. </w:t>
      </w:r>
    </w:p>
    <w:p w14:paraId="45C4FA62"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4.3. Реално приведени в изпълнение присъди </w:t>
      </w:r>
      <w:r>
        <w:rPr>
          <w:rFonts w:ascii="Times New Roman" w:eastAsia="Times New Roman" w:hAnsi="Times New Roman" w:cs="Times New Roman"/>
          <w:sz w:val="28"/>
          <w:szCs w:val="28"/>
        </w:rPr>
        <w:t xml:space="preserve">– 342 бр. за 2025 г., при 453 бр. за 2024 г. и 405 бр. за 2023 г. </w:t>
      </w:r>
    </w:p>
    <w:p w14:paraId="30C666AE"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4.4. Участия в съдебни заседания по производства във връзка с изпълнение на наказанията </w:t>
      </w:r>
      <w:r>
        <w:rPr>
          <w:rFonts w:ascii="Times New Roman" w:eastAsia="Times New Roman" w:hAnsi="Times New Roman" w:cs="Times New Roman"/>
          <w:sz w:val="28"/>
          <w:szCs w:val="28"/>
        </w:rPr>
        <w:t xml:space="preserve">– 206 бр. за 2025 г., при 208 бр. за 2024 г. и 219 бр. за 2023 г. </w:t>
      </w:r>
    </w:p>
    <w:p w14:paraId="465DFC53"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4.5. Участия в съдебни заседания по принудителни мерки </w:t>
      </w:r>
      <w:r>
        <w:rPr>
          <w:rFonts w:ascii="Times New Roman" w:eastAsia="Times New Roman" w:hAnsi="Times New Roman" w:cs="Times New Roman"/>
          <w:sz w:val="28"/>
          <w:szCs w:val="28"/>
        </w:rPr>
        <w:t xml:space="preserve">– 21 бр. за 2025 г., </w:t>
      </w:r>
      <w:r>
        <w:rPr>
          <w:rFonts w:ascii="Times New Roman" w:eastAsia="Times New Roman" w:hAnsi="Times New Roman" w:cs="Times New Roman"/>
          <w:color w:val="000000" w:themeColor="text1"/>
          <w:sz w:val="28"/>
          <w:szCs w:val="28"/>
        </w:rPr>
        <w:t>при 32 бр. за 2024 г.</w:t>
      </w:r>
      <w:r>
        <w:rPr>
          <w:rFonts w:ascii="Times New Roman" w:eastAsia="Times New Roman" w:hAnsi="Times New Roman" w:cs="Times New Roman"/>
          <w:sz w:val="28"/>
          <w:szCs w:val="28"/>
        </w:rPr>
        <w:t xml:space="preserve"> и 39 бр. за 2023 г. </w:t>
      </w:r>
    </w:p>
    <w:p w14:paraId="1EA5D133"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p>
    <w:p w14:paraId="5A574B39"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5. Гражданско – съдебен надзор:</w:t>
      </w:r>
    </w:p>
    <w:p w14:paraId="61ED9E4D"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5.1. Предявени искове по ГСН – </w:t>
      </w:r>
      <w:r>
        <w:rPr>
          <w:rFonts w:ascii="Times New Roman" w:eastAsia="Times New Roman" w:hAnsi="Times New Roman" w:cs="Times New Roman"/>
          <w:sz w:val="28"/>
          <w:szCs w:val="28"/>
        </w:rPr>
        <w:t>2025 г. - 53,</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2024 г. - 24 2023 г. – 38</w:t>
      </w:r>
    </w:p>
    <w:p w14:paraId="73DECC95"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5.2. Уведомления до КОНПИ и КПК– 9</w:t>
      </w:r>
      <w:r>
        <w:rPr>
          <w:rFonts w:ascii="Times New Roman" w:eastAsia="Times New Roman" w:hAnsi="Times New Roman" w:cs="Times New Roman"/>
          <w:sz w:val="28"/>
          <w:szCs w:val="28"/>
        </w:rPr>
        <w:t xml:space="preserve">5 бр. за 2025 г., за 2024 г. - 38, за 2023 г. – 42. </w:t>
      </w:r>
    </w:p>
    <w:p w14:paraId="455B5D73"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5.3. Жалби срещу първоинстанционни и въззивни решения на съда – </w:t>
      </w:r>
      <w:r>
        <w:rPr>
          <w:rFonts w:ascii="Times New Roman" w:eastAsia="Times New Roman" w:hAnsi="Times New Roman" w:cs="Times New Roman"/>
          <w:sz w:val="28"/>
          <w:szCs w:val="28"/>
        </w:rPr>
        <w:t xml:space="preserve">14 бр. за 2025 г., при 25 бр. за 2024 г. и 9 бр. за 2023 г. </w:t>
      </w:r>
    </w:p>
    <w:p w14:paraId="5D1CDF37"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5.4. Участия в съдебни заседания по ГСН – </w:t>
      </w:r>
      <w:r>
        <w:rPr>
          <w:rFonts w:ascii="Times New Roman" w:eastAsia="Times New Roman" w:hAnsi="Times New Roman" w:cs="Times New Roman"/>
          <w:sz w:val="28"/>
          <w:szCs w:val="28"/>
        </w:rPr>
        <w:t>305 бр. за 2025 г., при 349 бр. за 2024 г. 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251 бр. за 2023 г. </w:t>
      </w:r>
    </w:p>
    <w:p w14:paraId="37AC2409"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p>
    <w:p w14:paraId="61EF4C0D"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6. Административен надзор за законност:</w:t>
      </w:r>
    </w:p>
    <w:p w14:paraId="3445864F"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6.1. Получени и образувани преписки по надзора за законност – </w:t>
      </w:r>
      <w:r>
        <w:rPr>
          <w:rFonts w:ascii="Times New Roman" w:eastAsia="Times New Roman" w:hAnsi="Times New Roman" w:cs="Times New Roman"/>
          <w:sz w:val="28"/>
          <w:szCs w:val="28"/>
        </w:rPr>
        <w:t>222 бр. за 2025 г., при 281 бр. за 2024 г. 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241 бр. за 2023 г.</w:t>
      </w:r>
    </w:p>
    <w:p w14:paraId="6A3E5AA4"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6.2. Извършени проверки – </w:t>
      </w:r>
      <w:r>
        <w:rPr>
          <w:rFonts w:ascii="Times New Roman" w:eastAsia="Times New Roman" w:hAnsi="Times New Roman" w:cs="Times New Roman"/>
          <w:sz w:val="28"/>
          <w:szCs w:val="28"/>
        </w:rPr>
        <w:t>216 бр. за 2025 г., при 270</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бр. за 2024 г. 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236 бр. за 2023 г.  </w:t>
      </w:r>
    </w:p>
    <w:p w14:paraId="75282C87"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6.3. Подадени и разгледани предложения – </w:t>
      </w:r>
      <w:r>
        <w:rPr>
          <w:rFonts w:ascii="Times New Roman" w:eastAsia="Times New Roman" w:hAnsi="Times New Roman" w:cs="Times New Roman"/>
          <w:sz w:val="28"/>
          <w:szCs w:val="28"/>
        </w:rPr>
        <w:t xml:space="preserve">за 2025 г. - 1, при 6 бр. за 2024 г. и 18 бр. за 2023 г. </w:t>
      </w:r>
    </w:p>
    <w:p w14:paraId="214126EA"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6.4. Подадени и разгледани протести</w:t>
      </w:r>
      <w:r>
        <w:rPr>
          <w:rFonts w:ascii="Times New Roman" w:eastAsia="Times New Roman" w:hAnsi="Times New Roman" w:cs="Times New Roman"/>
          <w:sz w:val="28"/>
          <w:szCs w:val="28"/>
        </w:rPr>
        <w:t xml:space="preserve"> – 1 бр. за 2025 г., за 2024 г. – няма, 7 бр. за 2023 г. </w:t>
      </w:r>
    </w:p>
    <w:p w14:paraId="5B7E99D3"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p>
    <w:p w14:paraId="22E0240C"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7. Международно - правно сътрудничество:</w:t>
      </w:r>
    </w:p>
    <w:p w14:paraId="0BD3A586"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Общо участия в съдебни заседания по международно правно сътрудничество (по НПК, ЗЕЕЗА и ЗПИИАКОРНФС) – </w:t>
      </w:r>
      <w:r>
        <w:rPr>
          <w:rFonts w:ascii="Times New Roman" w:eastAsia="Times New Roman" w:hAnsi="Times New Roman" w:cs="Times New Roman"/>
          <w:sz w:val="28"/>
          <w:szCs w:val="28"/>
        </w:rPr>
        <w:t xml:space="preserve">189 за 2025 г., при 191 за 2024 г. и 170 за 2023 г. </w:t>
      </w:r>
    </w:p>
    <w:p w14:paraId="5181ABE4"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За 2025 г.</w:t>
      </w:r>
      <w:r>
        <w:rPr>
          <w:rFonts w:ascii="Times New Roman" w:eastAsia="Times New Roman" w:hAnsi="Times New Roman" w:cs="Times New Roman"/>
          <w:sz w:val="28"/>
          <w:szCs w:val="28"/>
        </w:rPr>
        <w:t xml:space="preserve"> този вид участия в съдебни заседания могат да бъдат разграничени по категории, както следва:</w:t>
      </w:r>
    </w:p>
    <w:p w14:paraId="76AC3C17" w14:textId="77777777" w:rsidR="00EC1E22" w:rsidRDefault="00EC1E22" w:rsidP="00EC1E22">
      <w:pPr>
        <w:spacing w:after="0" w:line="240" w:lineRule="auto"/>
        <w:ind w:left="-56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 xml:space="preserve">7.1. Участия в съдебни заседания по международно правно сътрудничество по НПК – </w:t>
      </w:r>
      <w:r>
        <w:rPr>
          <w:rFonts w:ascii="Times New Roman" w:eastAsia="Times New Roman" w:hAnsi="Times New Roman" w:cs="Times New Roman"/>
          <w:color w:val="000000" w:themeColor="text1"/>
          <w:sz w:val="28"/>
          <w:szCs w:val="28"/>
        </w:rPr>
        <w:t xml:space="preserve">8 </w:t>
      </w:r>
    </w:p>
    <w:p w14:paraId="488A3EA2" w14:textId="77777777" w:rsidR="00EC1E22" w:rsidRDefault="00EC1E22" w:rsidP="00EC1E22">
      <w:pPr>
        <w:spacing w:after="0" w:line="240" w:lineRule="auto"/>
        <w:ind w:left="-567"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color w:val="000000" w:themeColor="text1"/>
          <w:sz w:val="28"/>
          <w:szCs w:val="28"/>
        </w:rPr>
        <w:t>7.2. Участия в съдебни заседания по международно правно сътрудничество по ЗЕЕЗА –</w:t>
      </w:r>
      <w:r>
        <w:rPr>
          <w:rFonts w:ascii="Times New Roman" w:eastAsia="Times New Roman" w:hAnsi="Times New Roman" w:cs="Times New Roman"/>
          <w:color w:val="000000" w:themeColor="text1"/>
          <w:sz w:val="28"/>
          <w:szCs w:val="28"/>
        </w:rPr>
        <w:t xml:space="preserve"> 7</w:t>
      </w:r>
    </w:p>
    <w:p w14:paraId="7A91A57D" w14:textId="77777777" w:rsidR="00EC1E22" w:rsidRDefault="00EC1E22" w:rsidP="00EC1E22">
      <w:pPr>
        <w:spacing w:after="0" w:line="240" w:lineRule="auto"/>
        <w:ind w:left="-567" w:firstLine="567"/>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7.3. Участия в съдебни заседания по международно правно сътрудничество по ЗПИИАКОРНФС – </w:t>
      </w:r>
      <w:r>
        <w:rPr>
          <w:rFonts w:ascii="Times New Roman" w:eastAsia="Times New Roman" w:hAnsi="Times New Roman" w:cs="Times New Roman"/>
          <w:color w:val="000000" w:themeColor="text1"/>
          <w:sz w:val="28"/>
          <w:szCs w:val="28"/>
        </w:rPr>
        <w:t xml:space="preserve">174 </w:t>
      </w:r>
    </w:p>
    <w:p w14:paraId="4086A80B" w14:textId="77777777" w:rsidR="00EC1E22" w:rsidRDefault="00EC1E22" w:rsidP="00EC1E22">
      <w:pPr>
        <w:spacing w:after="0" w:line="240" w:lineRule="auto"/>
        <w:ind w:left="-567" w:firstLine="567"/>
        <w:jc w:val="both"/>
        <w:outlineLvl w:val="0"/>
        <w:rPr>
          <w:rFonts w:ascii="Times New Roman" w:eastAsia="Times New Roman" w:hAnsi="Times New Roman" w:cs="Times New Roman"/>
          <w:b/>
          <w:sz w:val="28"/>
          <w:szCs w:val="28"/>
        </w:rPr>
      </w:pPr>
    </w:p>
    <w:p w14:paraId="08E97CC0" w14:textId="77777777" w:rsidR="00EC1E22" w:rsidRDefault="00EC1E22" w:rsidP="00EC1E22">
      <w:pPr>
        <w:spacing w:after="0" w:line="240" w:lineRule="auto"/>
        <w:ind w:left="-567" w:firstLine="567"/>
        <w:jc w:val="both"/>
        <w:outlineLvl w:val="0"/>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rPr>
        <w:t xml:space="preserve">8. Общо участия в съдебни заседания – </w:t>
      </w:r>
      <w:r>
        <w:rPr>
          <w:rFonts w:ascii="Times New Roman" w:eastAsia="Times New Roman" w:hAnsi="Times New Roman" w:cs="Times New Roman"/>
          <w:sz w:val="28"/>
          <w:szCs w:val="28"/>
        </w:rPr>
        <w:t>3171 бр. за 2025 г., при 3154</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бр. за 2024 г. 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3060 за 2023 г</w:t>
      </w:r>
    </w:p>
    <w:p w14:paraId="0063818F" w14:textId="77777777" w:rsidR="00EC1E22" w:rsidRDefault="00EC1E22" w:rsidP="00EC1E22">
      <w:pPr>
        <w:spacing w:after="0" w:line="240" w:lineRule="auto"/>
        <w:jc w:val="both"/>
        <w:rPr>
          <w:rFonts w:ascii="Times New Roman" w:eastAsia="Times New Roman" w:hAnsi="Times New Roman" w:cs="Times New Roman"/>
          <w:b/>
          <w:sz w:val="28"/>
          <w:szCs w:val="28"/>
          <w:highlight w:val="yellow"/>
        </w:rPr>
      </w:pPr>
    </w:p>
    <w:p w14:paraId="0A1FB4C7"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Средна натовареност на един прокурор от Окръжна прокуратура – Пазарджик </w:t>
      </w:r>
    </w:p>
    <w:p w14:paraId="7D66DA2B" w14:textId="77777777" w:rsidR="00EC1E22" w:rsidRDefault="00EC1E22" w:rsidP="00EC1E22">
      <w:pPr>
        <w:spacing w:after="0" w:line="240" w:lineRule="auto"/>
        <w:ind w:left="-567" w:firstLine="567"/>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 Брой прокурори по щат: </w:t>
      </w:r>
      <w:r>
        <w:rPr>
          <w:rFonts w:ascii="Times New Roman" w:eastAsia="Times New Roman" w:hAnsi="Times New Roman" w:cs="Times New Roman"/>
          <w:sz w:val="28"/>
          <w:szCs w:val="28"/>
        </w:rPr>
        <w:t>11 бр.</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 2025 г., при 12 за 2024 г., при 13 бр. за 2023г.;</w:t>
      </w:r>
    </w:p>
    <w:p w14:paraId="6DCC8D28"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xml:space="preserve">2. Брой реално работили прокурори: </w:t>
      </w:r>
      <w:r>
        <w:rPr>
          <w:rFonts w:ascii="Times New Roman" w:eastAsia="Times New Roman" w:hAnsi="Times New Roman" w:cs="Times New Roman"/>
          <w:sz w:val="28"/>
          <w:szCs w:val="28"/>
        </w:rPr>
        <w:t>11.58 бр. за 2025 г., 11.7 бр. за 2024г. и 12.6 бр. за 2023 г.;</w:t>
      </w:r>
    </w:p>
    <w:p w14:paraId="5B501E8E"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3. Среден брой наблюдавани преписки от един прокурор: </w:t>
      </w:r>
      <w:r>
        <w:rPr>
          <w:rFonts w:ascii="Times New Roman" w:eastAsia="Times New Roman" w:hAnsi="Times New Roman" w:cs="Times New Roman"/>
          <w:bCs/>
          <w:sz w:val="28"/>
          <w:szCs w:val="28"/>
          <w:lang w:val="en-US"/>
        </w:rPr>
        <w:t>73</w:t>
      </w:r>
      <w:r>
        <w:rPr>
          <w:rFonts w:ascii="Times New Roman" w:eastAsia="Times New Roman" w:hAnsi="Times New Roman" w:cs="Times New Roman"/>
          <w:bCs/>
          <w:sz w:val="28"/>
          <w:szCs w:val="28"/>
        </w:rPr>
        <w:t xml:space="preserve">.5 бр. за 2025 г., </w:t>
      </w:r>
      <w:r>
        <w:rPr>
          <w:rFonts w:ascii="Times New Roman" w:eastAsia="Times New Roman" w:hAnsi="Times New Roman" w:cs="Times New Roman"/>
          <w:bCs/>
          <w:sz w:val="28"/>
          <w:szCs w:val="28"/>
          <w:lang w:val="en-US"/>
        </w:rPr>
        <w:t>83.6</w:t>
      </w:r>
      <w:r>
        <w:rPr>
          <w:rFonts w:ascii="Times New Roman" w:eastAsia="Times New Roman" w:hAnsi="Times New Roman" w:cs="Times New Roman"/>
          <w:bCs/>
          <w:sz w:val="28"/>
          <w:szCs w:val="28"/>
        </w:rPr>
        <w:t xml:space="preserve"> бр. за 2024 г. и </w:t>
      </w:r>
      <w:r>
        <w:rPr>
          <w:rFonts w:ascii="Times New Roman" w:eastAsia="Times New Roman" w:hAnsi="Times New Roman" w:cs="Times New Roman"/>
          <w:bCs/>
          <w:sz w:val="28"/>
          <w:szCs w:val="28"/>
          <w:lang w:val="en-US"/>
        </w:rPr>
        <w:t>73</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5</w:t>
      </w:r>
      <w:r>
        <w:rPr>
          <w:rFonts w:ascii="Times New Roman" w:eastAsia="Times New Roman" w:hAnsi="Times New Roman" w:cs="Times New Roman"/>
          <w:bCs/>
          <w:sz w:val="28"/>
          <w:szCs w:val="28"/>
        </w:rPr>
        <w:t xml:space="preserve"> бр. за 2023 г.;</w:t>
      </w:r>
    </w:p>
    <w:p w14:paraId="2BB12480"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4. Среден брой новообразувани преписки от един прокурор: </w:t>
      </w:r>
      <w:r>
        <w:rPr>
          <w:rFonts w:ascii="Times New Roman" w:eastAsia="Times New Roman" w:hAnsi="Times New Roman" w:cs="Times New Roman"/>
          <w:bCs/>
          <w:sz w:val="28"/>
          <w:szCs w:val="28"/>
          <w:lang w:val="en-US"/>
        </w:rPr>
        <w:t>55</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9</w:t>
      </w:r>
      <w:r>
        <w:rPr>
          <w:rFonts w:ascii="Times New Roman" w:eastAsia="Times New Roman" w:hAnsi="Times New Roman" w:cs="Times New Roman"/>
          <w:bCs/>
          <w:sz w:val="28"/>
          <w:szCs w:val="28"/>
        </w:rPr>
        <w:t xml:space="preserve"> бр. за 2025 г., </w:t>
      </w:r>
      <w:r>
        <w:rPr>
          <w:rFonts w:ascii="Times New Roman" w:eastAsia="Times New Roman" w:hAnsi="Times New Roman" w:cs="Times New Roman"/>
          <w:bCs/>
          <w:sz w:val="28"/>
          <w:szCs w:val="28"/>
          <w:lang w:val="en-US"/>
        </w:rPr>
        <w:t>63</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8</w:t>
      </w:r>
      <w:r>
        <w:rPr>
          <w:rFonts w:ascii="Times New Roman" w:eastAsia="Times New Roman" w:hAnsi="Times New Roman" w:cs="Times New Roman"/>
          <w:bCs/>
          <w:sz w:val="28"/>
          <w:szCs w:val="28"/>
        </w:rPr>
        <w:t xml:space="preserve"> бр. за 2024 г. и </w:t>
      </w:r>
      <w:r>
        <w:rPr>
          <w:rFonts w:ascii="Times New Roman" w:eastAsia="Times New Roman" w:hAnsi="Times New Roman" w:cs="Times New Roman"/>
          <w:bCs/>
          <w:sz w:val="28"/>
          <w:szCs w:val="28"/>
          <w:lang w:val="en-US"/>
        </w:rPr>
        <w:t>58</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8</w:t>
      </w:r>
      <w:r>
        <w:rPr>
          <w:rFonts w:ascii="Times New Roman" w:eastAsia="Times New Roman" w:hAnsi="Times New Roman" w:cs="Times New Roman"/>
          <w:bCs/>
          <w:sz w:val="28"/>
          <w:szCs w:val="28"/>
        </w:rPr>
        <w:t xml:space="preserve"> бр. за 2023 г.;</w:t>
      </w:r>
    </w:p>
    <w:p w14:paraId="45D20017"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5. Среден брой наблюдавани ДП от един прокурор: </w:t>
      </w:r>
      <w:r>
        <w:rPr>
          <w:rFonts w:ascii="Times New Roman" w:eastAsia="Times New Roman" w:hAnsi="Times New Roman" w:cs="Times New Roman"/>
          <w:bCs/>
          <w:sz w:val="28"/>
          <w:szCs w:val="28"/>
        </w:rPr>
        <w:t>40.76 бр. за 2025 г., 39.32 бр. за 2024 г. и 41.67 бр. за 2023 г.;</w:t>
      </w:r>
    </w:p>
    <w:p w14:paraId="245A5809"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6.</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 xml:space="preserve">Среден брой новообразувани ДП от един прокурор: </w:t>
      </w:r>
      <w:r>
        <w:rPr>
          <w:rFonts w:ascii="Times New Roman" w:eastAsia="Times New Roman" w:hAnsi="Times New Roman" w:cs="Times New Roman"/>
          <w:bCs/>
          <w:sz w:val="28"/>
          <w:szCs w:val="28"/>
          <w:lang w:val="en-US"/>
        </w:rPr>
        <w:t>11</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7</w:t>
      </w:r>
      <w:r>
        <w:rPr>
          <w:rFonts w:ascii="Times New Roman" w:eastAsia="Times New Roman" w:hAnsi="Times New Roman" w:cs="Times New Roman"/>
          <w:bCs/>
          <w:sz w:val="28"/>
          <w:szCs w:val="28"/>
        </w:rPr>
        <w:t xml:space="preserve"> бр. за 2025 г., при </w:t>
      </w:r>
      <w:r>
        <w:rPr>
          <w:rFonts w:ascii="Times New Roman" w:eastAsia="Times New Roman" w:hAnsi="Times New Roman" w:cs="Times New Roman"/>
          <w:bCs/>
          <w:sz w:val="28"/>
          <w:szCs w:val="28"/>
          <w:lang w:val="en-US"/>
        </w:rPr>
        <w:t>11</w:t>
      </w: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lang w:val="en-US"/>
        </w:rPr>
        <w:t>6</w:t>
      </w:r>
      <w:r>
        <w:rPr>
          <w:rFonts w:ascii="Times New Roman" w:eastAsia="Times New Roman" w:hAnsi="Times New Roman" w:cs="Times New Roman"/>
          <w:bCs/>
          <w:sz w:val="28"/>
          <w:szCs w:val="28"/>
        </w:rPr>
        <w:t xml:space="preserve"> бр. за 2024 г. и </w:t>
      </w:r>
      <w:r>
        <w:rPr>
          <w:rFonts w:ascii="Times New Roman" w:eastAsia="Times New Roman" w:hAnsi="Times New Roman" w:cs="Times New Roman"/>
          <w:bCs/>
          <w:sz w:val="28"/>
          <w:szCs w:val="28"/>
          <w:lang w:val="en-US"/>
        </w:rPr>
        <w:t>13</w:t>
      </w:r>
      <w:r>
        <w:rPr>
          <w:rFonts w:ascii="Times New Roman" w:eastAsia="Times New Roman" w:hAnsi="Times New Roman" w:cs="Times New Roman"/>
          <w:bCs/>
          <w:sz w:val="28"/>
          <w:szCs w:val="28"/>
        </w:rPr>
        <w:t xml:space="preserve"> бр. за 2023 г.;</w:t>
      </w:r>
    </w:p>
    <w:p w14:paraId="38F01767"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7.</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 xml:space="preserve">Среден брой прокурорски актове, внесени в съда от един прокурор: </w:t>
      </w:r>
      <w:r>
        <w:rPr>
          <w:rFonts w:ascii="Times New Roman" w:eastAsia="Times New Roman" w:hAnsi="Times New Roman" w:cs="Times New Roman"/>
          <w:bCs/>
          <w:sz w:val="28"/>
          <w:szCs w:val="28"/>
        </w:rPr>
        <w:t>5 бр. за 2025 г., 6 бр. за 2024 г. и 7 бр. за 2023 г.;</w:t>
      </w:r>
    </w:p>
    <w:p w14:paraId="6DBEA4DB"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8.</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 xml:space="preserve">Среден брой върнати дела на един прокурор: </w:t>
      </w:r>
      <w:r>
        <w:rPr>
          <w:rFonts w:ascii="Times New Roman" w:eastAsia="Times New Roman" w:hAnsi="Times New Roman" w:cs="Times New Roman"/>
          <w:bCs/>
          <w:sz w:val="28"/>
          <w:szCs w:val="28"/>
        </w:rPr>
        <w:t>0.8 бр. за 2025 г., при 0.7 бр. за 2024 г. и 0.9 бр. за 2023 г.;</w:t>
      </w:r>
    </w:p>
    <w:p w14:paraId="45C7489D"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9.</w:t>
      </w: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 xml:space="preserve">Среден брой оправдани лица с влязъл в сила съдебен акт на един прокурор: </w:t>
      </w:r>
      <w:r>
        <w:rPr>
          <w:rFonts w:ascii="Times New Roman" w:eastAsia="Times New Roman" w:hAnsi="Times New Roman" w:cs="Times New Roman"/>
          <w:bCs/>
          <w:sz w:val="28"/>
          <w:szCs w:val="28"/>
        </w:rPr>
        <w:t>0.2 бр. за 2025 г., 0.5 бр. за 2024 г. и 0.2 бр. за 2023 г.;</w:t>
      </w:r>
    </w:p>
    <w:p w14:paraId="09398DF9" w14:textId="77777777" w:rsidR="00EC1E22" w:rsidRDefault="00EC1E22" w:rsidP="00EC1E22">
      <w:pPr>
        <w:spacing w:after="0" w:line="240" w:lineRule="auto"/>
        <w:ind w:left="-567" w:firstLine="567"/>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10. Среден брой участия в съдебни заседания на един прокурор: </w:t>
      </w:r>
      <w:r>
        <w:rPr>
          <w:rFonts w:ascii="Times New Roman" w:eastAsia="Times New Roman" w:hAnsi="Times New Roman" w:cs="Times New Roman"/>
          <w:bCs/>
          <w:sz w:val="28"/>
          <w:szCs w:val="28"/>
        </w:rPr>
        <w:t>123.7 бр. за 2025 г., 123.8 бр. за 2024 г. и 111 бр. за 2023 г.</w:t>
      </w:r>
    </w:p>
    <w:p w14:paraId="3F4CBF74" w14:textId="77777777" w:rsidR="0041602B" w:rsidRDefault="0041602B" w:rsidP="00EC1E22">
      <w:pPr>
        <w:spacing w:after="0" w:line="240" w:lineRule="auto"/>
        <w:ind w:left="-567" w:firstLine="567"/>
        <w:jc w:val="both"/>
        <w:rPr>
          <w:rFonts w:ascii="Times New Roman" w:eastAsia="Times New Roman" w:hAnsi="Times New Roman" w:cs="Times New Roman"/>
          <w:bCs/>
          <w:sz w:val="28"/>
          <w:szCs w:val="28"/>
        </w:rPr>
      </w:pPr>
    </w:p>
    <w:p w14:paraId="50EF80F0" w14:textId="77777777" w:rsidR="0041602B" w:rsidRDefault="0041602B" w:rsidP="00EC1E22">
      <w:pPr>
        <w:spacing w:after="0" w:line="240" w:lineRule="auto"/>
        <w:ind w:left="-567" w:firstLine="567"/>
        <w:jc w:val="both"/>
        <w:rPr>
          <w:rFonts w:ascii="Times New Roman" w:eastAsia="Times New Roman" w:hAnsi="Times New Roman" w:cs="Times New Roman"/>
          <w:bCs/>
          <w:sz w:val="28"/>
          <w:szCs w:val="28"/>
        </w:rPr>
      </w:pPr>
    </w:p>
    <w:p w14:paraId="1C8A1900" w14:textId="4D9B7BF9" w:rsidR="00F112CC" w:rsidRDefault="00F112CC" w:rsidP="00F112CC">
      <w:pPr>
        <w:spacing w:after="0" w:line="240" w:lineRule="auto"/>
        <w:ind w:left="-567" w:firstLine="567"/>
        <w:jc w:val="center"/>
        <w:rPr>
          <w:rFonts w:ascii="Times New Roman" w:eastAsia="Times New Roman" w:hAnsi="Times New Roman" w:cs="Times New Roman"/>
          <w:bCs/>
          <w:sz w:val="28"/>
          <w:szCs w:val="28"/>
        </w:rPr>
      </w:pPr>
      <w:r>
        <w:rPr>
          <w:noProof/>
        </w:rPr>
        <w:drawing>
          <wp:inline distT="0" distB="0" distL="0" distR="0" wp14:anchorId="60EFCB95" wp14:editId="3F71F523">
            <wp:extent cx="5001260" cy="3307743"/>
            <wp:effectExtent l="0" t="0" r="8890" b="6985"/>
            <wp:docPr id="1298414051" name="Графи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1405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001260" cy="3307743"/>
                    </a:xfrm>
                    <a:prstGeom prst="rect">
                      <a:avLst/>
                    </a:prstGeom>
                  </pic:spPr>
                </pic:pic>
              </a:graphicData>
            </a:graphic>
          </wp:inline>
        </w:drawing>
      </w:r>
    </w:p>
    <w:p w14:paraId="56FF8D2B" w14:textId="77777777" w:rsidR="00F112CC" w:rsidRDefault="00F112CC" w:rsidP="00EC1E22">
      <w:pPr>
        <w:spacing w:after="0" w:line="240" w:lineRule="auto"/>
        <w:ind w:left="-567" w:firstLine="567"/>
        <w:jc w:val="both"/>
        <w:rPr>
          <w:rFonts w:ascii="Times New Roman" w:eastAsia="Times New Roman" w:hAnsi="Times New Roman" w:cs="Times New Roman"/>
          <w:bCs/>
          <w:sz w:val="28"/>
          <w:szCs w:val="28"/>
        </w:rPr>
      </w:pPr>
    </w:p>
    <w:p w14:paraId="00084242" w14:textId="77777777" w:rsidR="00EC1E22" w:rsidRDefault="00EC1E22" w:rsidP="00EC1E22">
      <w:pPr>
        <w:spacing w:after="0" w:line="240" w:lineRule="auto"/>
        <w:ind w:left="-567" w:firstLine="56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На база на горните цифри може да се направят следните изводи:</w:t>
      </w:r>
    </w:p>
    <w:p w14:paraId="57E28550" w14:textId="77777777" w:rsidR="00EC1E22" w:rsidRDefault="00EC1E22" w:rsidP="00EC1E22">
      <w:pPr>
        <w:spacing w:after="0" w:line="240" w:lineRule="auto"/>
        <w:ind w:left="-567" w:firstLine="56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През 2025 г. е налице намаление на средния брой наблюдавани и новообразувани преписки от един прокурор в Окръжна прокуратура - Пазарджик с 10,1 бр. наблюдавани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12,08</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и намаление със 7,9 бр. новообразувани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12,38</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в сравнение с 2024 г. , без промяна в наблюдаваните и намаление в новообразувани с 2,9 бр. /4,93</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в сравнение с 2023 г.</w:t>
      </w:r>
    </w:p>
    <w:p w14:paraId="282135C4" w14:textId="77777777" w:rsidR="00EC1E22" w:rsidRDefault="00EC1E22" w:rsidP="00EC1E22">
      <w:pPr>
        <w:spacing w:after="0" w:line="240" w:lineRule="auto"/>
        <w:ind w:left="-567" w:firstLine="56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При средния брой наблюдавани ДП от един прокурор в Окръжна прокуратура – Пазарджик, през 2025 г. се наблюдава увеличение с 1,44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lastRenderedPageBreak/>
        <w:t>3,66 %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в сравнение с 2024 г. и намаление с 0,91 бр.</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2,18</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в сравнение с 2023 г.</w:t>
      </w:r>
    </w:p>
    <w:p w14:paraId="1D18704E" w14:textId="77777777" w:rsidR="00EC1E22" w:rsidRDefault="00EC1E22" w:rsidP="00EC1E22">
      <w:pPr>
        <w:spacing w:after="0" w:line="240" w:lineRule="auto"/>
        <w:ind w:left="-567" w:firstLine="56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При средния брой новообразувани ДП от един прокурор в Окръжна прокуратура – Пазарджик, през 2025 г. се наблюдава увеличение с 0,1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0,86%</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в сравнение с 2024 г. и намаление с 1,3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0,1</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през 2023 г.</w:t>
      </w:r>
    </w:p>
    <w:p w14:paraId="4D991A7B" w14:textId="77777777" w:rsidR="00EC1E22" w:rsidRDefault="00EC1E22" w:rsidP="00EC1E22">
      <w:pPr>
        <w:spacing w:after="0" w:line="240" w:lineRule="auto"/>
        <w:ind w:left="-567" w:firstLine="56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 xml:space="preserve">През 2025 г. е налице намаление с </w:t>
      </w:r>
      <w:r>
        <w:rPr>
          <w:rFonts w:ascii="Times New Roman" w:eastAsia="Times New Roman" w:hAnsi="Times New Roman" w:cs="Times New Roman"/>
          <w:bCs/>
          <w:color w:val="000000" w:themeColor="text1"/>
          <w:sz w:val="28"/>
          <w:szCs w:val="28"/>
          <w:lang w:val="en-US"/>
        </w:rPr>
        <w:t>1</w:t>
      </w:r>
      <w:r>
        <w:rPr>
          <w:rFonts w:ascii="Times New Roman" w:eastAsia="Times New Roman" w:hAnsi="Times New Roman" w:cs="Times New Roman"/>
          <w:bCs/>
          <w:color w:val="000000" w:themeColor="text1"/>
          <w:sz w:val="28"/>
          <w:szCs w:val="28"/>
        </w:rPr>
        <w:t xml:space="preserve">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16,7</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xml:space="preserve">/ в сравнение с 2024 г. и с </w:t>
      </w:r>
      <w:r>
        <w:rPr>
          <w:rFonts w:ascii="Times New Roman" w:eastAsia="Times New Roman" w:hAnsi="Times New Roman" w:cs="Times New Roman"/>
          <w:bCs/>
          <w:color w:val="000000" w:themeColor="text1"/>
          <w:sz w:val="28"/>
          <w:szCs w:val="28"/>
          <w:lang w:val="en-US"/>
        </w:rPr>
        <w:t>2</w:t>
      </w:r>
      <w:r>
        <w:rPr>
          <w:rFonts w:ascii="Times New Roman" w:eastAsia="Times New Roman" w:hAnsi="Times New Roman" w:cs="Times New Roman"/>
          <w:bCs/>
          <w:color w:val="000000" w:themeColor="text1"/>
          <w:sz w:val="28"/>
          <w:szCs w:val="28"/>
        </w:rPr>
        <w:t xml:space="preserve"> бр. /</w:t>
      </w:r>
      <w:r>
        <w:rPr>
          <w:rFonts w:ascii="Times New Roman" w:eastAsia="Times New Roman" w:hAnsi="Times New Roman" w:cs="Times New Roman"/>
          <w:bCs/>
          <w:color w:val="000000" w:themeColor="text1"/>
          <w:sz w:val="28"/>
          <w:szCs w:val="28"/>
          <w:lang w:val="en-US"/>
        </w:rPr>
        <w:t xml:space="preserve"> 28.57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през 2023 г. на средния брой прокурорски актове, внесени в съда и увеличение с 0.1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14,29</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в сравнение с 2024 г. и намаление с 0.1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11.11</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спрямо 2023 г. на средния брой върнати дела на един прокурор в Окръжна прокуратура – Пазарджик.</w:t>
      </w:r>
    </w:p>
    <w:p w14:paraId="0599B8BA" w14:textId="77777777" w:rsidR="00EC1E22" w:rsidRDefault="00EC1E22" w:rsidP="00EC1E22">
      <w:pPr>
        <w:spacing w:after="0" w:line="240" w:lineRule="auto"/>
        <w:ind w:left="-567" w:firstLine="56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През 2025 г. е налице намаление с 0,3 бр. / 60 % / в сравнение с 2024 г. и без изменение в сравнение с 2023 г. на с</w:t>
      </w:r>
      <w:r>
        <w:rPr>
          <w:rFonts w:ascii="Times New Roman" w:eastAsia="Times New Roman" w:hAnsi="Times New Roman" w:cs="Times New Roman"/>
          <w:color w:val="000000" w:themeColor="text1"/>
          <w:sz w:val="28"/>
          <w:szCs w:val="28"/>
        </w:rPr>
        <w:t>редния брой оправдани лица с влязъл в сила съдебен акт на един прокурор</w:t>
      </w:r>
      <w:r>
        <w:rPr>
          <w:rFonts w:ascii="Times New Roman" w:eastAsia="Times New Roman" w:hAnsi="Times New Roman" w:cs="Times New Roman"/>
          <w:bCs/>
          <w:color w:val="000000" w:themeColor="text1"/>
          <w:sz w:val="28"/>
          <w:szCs w:val="28"/>
        </w:rPr>
        <w:t xml:space="preserve"> в Окръжна прокуратура – Пазарджик.</w:t>
      </w:r>
    </w:p>
    <w:p w14:paraId="75507B74" w14:textId="77777777" w:rsidR="00EC1E22" w:rsidRDefault="00EC1E22" w:rsidP="00EC1E22">
      <w:pPr>
        <w:spacing w:after="0" w:line="240" w:lineRule="auto"/>
        <w:ind w:left="-567" w:firstLine="567"/>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При средния брой участия в съдебни заседания на един прокурор в Окръжна прокуратура – Пазарджик, през 2025 г. се наблюдава намаление с 0,1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0,08</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в сравнение с 2024 г. и увеличение с 12,7 бр. /</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11,44</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lang w:val="en-US"/>
        </w:rPr>
        <w:t xml:space="preserve"> </w:t>
      </w:r>
      <w:r>
        <w:rPr>
          <w:rFonts w:ascii="Times New Roman" w:eastAsia="Times New Roman" w:hAnsi="Times New Roman" w:cs="Times New Roman"/>
          <w:bCs/>
          <w:color w:val="000000" w:themeColor="text1"/>
          <w:sz w:val="28"/>
          <w:szCs w:val="28"/>
        </w:rPr>
        <w:t>/ през 2023 г.</w:t>
      </w:r>
    </w:p>
    <w:p w14:paraId="2B9D00B6" w14:textId="77777777" w:rsidR="00EC1E22" w:rsidRDefault="00EC1E22" w:rsidP="00EC1E22">
      <w:pPr>
        <w:widowControl w:val="0"/>
        <w:shd w:val="clear" w:color="auto" w:fill="FFFFFF"/>
        <w:autoSpaceDE w:val="0"/>
        <w:autoSpaceDN w:val="0"/>
        <w:adjustRightInd w:val="0"/>
        <w:spacing w:after="0" w:line="24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Съобразно Правилата за измерване на натовареността, приети от Прокурорската колегия на ВСС с решение по Протокол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47 от 20.12.2023 г.</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за отчетната 2025 г. и 2024 г. и Правилата за измерване на натовареността, приети от ВСС с решение по Протокол № 60 от заседание, проведено на 11.12.2014 г. за отчетната 2023 г., са изведени следните данни:</w:t>
      </w:r>
    </w:p>
    <w:p w14:paraId="41310B6D" w14:textId="77777777" w:rsidR="00EC1E22" w:rsidRDefault="00EC1E22" w:rsidP="00EC1E22">
      <w:pPr>
        <w:spacing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Общ обем на прокурорската дейност за 2025 г. – </w:t>
      </w:r>
      <w:r>
        <w:rPr>
          <w:rFonts w:ascii="Times New Roman" w:eastAsia="Times New Roman" w:hAnsi="Times New Roman" w:cs="Times New Roman"/>
          <w:b/>
          <w:sz w:val="28"/>
          <w:szCs w:val="28"/>
        </w:rPr>
        <w:t>5884 броя</w:t>
      </w:r>
      <w:r>
        <w:rPr>
          <w:rFonts w:ascii="Times New Roman" w:eastAsia="Times New Roman" w:hAnsi="Times New Roman" w:cs="Times New Roman"/>
          <w:sz w:val="28"/>
          <w:szCs w:val="28"/>
        </w:rPr>
        <w:t xml:space="preserve">, при </w:t>
      </w:r>
      <w:r>
        <w:rPr>
          <w:rFonts w:ascii="Times New Roman" w:eastAsia="Times New Roman" w:hAnsi="Times New Roman" w:cs="Times New Roman"/>
          <w:b/>
          <w:sz w:val="28"/>
          <w:szCs w:val="28"/>
        </w:rPr>
        <w:t xml:space="preserve">6338 броя </w:t>
      </w:r>
      <w:r>
        <w:rPr>
          <w:rFonts w:ascii="Times New Roman" w:eastAsia="Times New Roman" w:hAnsi="Times New Roman" w:cs="Times New Roman"/>
          <w:sz w:val="28"/>
          <w:szCs w:val="28"/>
        </w:rPr>
        <w:t xml:space="preserve">за 2024 г. и </w:t>
      </w:r>
      <w:r>
        <w:rPr>
          <w:rFonts w:ascii="Times New Roman" w:eastAsia="Times New Roman" w:hAnsi="Times New Roman" w:cs="Times New Roman"/>
          <w:b/>
          <w:sz w:val="28"/>
          <w:szCs w:val="28"/>
        </w:rPr>
        <w:t>5861 броя</w:t>
      </w:r>
      <w:r>
        <w:rPr>
          <w:rFonts w:ascii="Times New Roman" w:eastAsia="Times New Roman" w:hAnsi="Times New Roman" w:cs="Times New Roman"/>
          <w:sz w:val="28"/>
          <w:szCs w:val="28"/>
        </w:rPr>
        <w:t xml:space="preserve"> за 2023 г. </w:t>
      </w:r>
    </w:p>
    <w:p w14:paraId="11902F1D" w14:textId="77777777" w:rsidR="00EC1E22" w:rsidRDefault="00EC1E22" w:rsidP="00EC1E2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14:paraId="636C2F32" w14:textId="77777777" w:rsidR="00EC1E22" w:rsidRDefault="00EC1E22" w:rsidP="00EC1E2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rPr>
        <w:drawing>
          <wp:inline distT="0" distB="0" distL="0" distR="0" wp14:anchorId="6B46FE83" wp14:editId="46FE2C46">
            <wp:extent cx="4810125" cy="2695575"/>
            <wp:effectExtent l="0" t="0" r="9525" b="9525"/>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0125" cy="2695575"/>
                    </a:xfrm>
                    <a:prstGeom prst="rect">
                      <a:avLst/>
                    </a:prstGeom>
                    <a:noFill/>
                    <a:ln>
                      <a:noFill/>
                    </a:ln>
                  </pic:spPr>
                </pic:pic>
              </a:graphicData>
            </a:graphic>
          </wp:inline>
        </w:drawing>
      </w:r>
    </w:p>
    <w:p w14:paraId="485B6BD4" w14:textId="77777777" w:rsidR="00EC1E22" w:rsidRDefault="00EC1E22" w:rsidP="00EC1E2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14:paraId="7644759C" w14:textId="77777777" w:rsidR="00EC1E22" w:rsidRDefault="00EC1E22" w:rsidP="00EC1E2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FF0000"/>
          <w:sz w:val="28"/>
          <w:szCs w:val="28"/>
        </w:rPr>
      </w:pPr>
    </w:p>
    <w:p w14:paraId="3B60DA75" w14:textId="77777777" w:rsidR="00EC1E22" w:rsidRDefault="00EC1E22" w:rsidP="00EC1E22">
      <w:pPr>
        <w:spacing w:after="0" w:line="240" w:lineRule="auto"/>
        <w:ind w:left="-567" w:right="-14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Среднодневна натовареност на прокурор в ОП-Пазарджик – </w:t>
      </w:r>
      <w:r>
        <w:rPr>
          <w:rFonts w:ascii="Times New Roman" w:eastAsia="Times New Roman" w:hAnsi="Times New Roman" w:cs="Times New Roman"/>
          <w:b/>
          <w:sz w:val="28"/>
          <w:szCs w:val="28"/>
        </w:rPr>
        <w:t>2,52</w:t>
      </w:r>
      <w:r>
        <w:rPr>
          <w:rFonts w:ascii="Times New Roman" w:eastAsia="Times New Roman" w:hAnsi="Times New Roman" w:cs="Times New Roman"/>
          <w:sz w:val="28"/>
          <w:szCs w:val="28"/>
        </w:rPr>
        <w:t xml:space="preserve"> за 2025 г.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реално работили прокурори 11,58 бр.</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при </w:t>
      </w:r>
      <w:r>
        <w:rPr>
          <w:rFonts w:ascii="Times New Roman" w:eastAsia="Times New Roman" w:hAnsi="Times New Roman" w:cs="Times New Roman"/>
          <w:b/>
          <w:sz w:val="28"/>
          <w:szCs w:val="28"/>
        </w:rPr>
        <w:t>2,65</w:t>
      </w:r>
      <w:r>
        <w:rPr>
          <w:rFonts w:ascii="Times New Roman" w:eastAsia="Times New Roman" w:hAnsi="Times New Roman" w:cs="Times New Roman"/>
          <w:sz w:val="28"/>
          <w:szCs w:val="28"/>
        </w:rPr>
        <w:t xml:space="preserve"> за 2024 г.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реално работили прокурори 11.7 бр.</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и </w:t>
      </w:r>
      <w:r>
        <w:rPr>
          <w:rFonts w:ascii="Times New Roman" w:eastAsia="Times New Roman" w:hAnsi="Times New Roman" w:cs="Times New Roman"/>
          <w:b/>
          <w:sz w:val="28"/>
          <w:szCs w:val="28"/>
        </w:rPr>
        <w:t>2,29</w:t>
      </w:r>
      <w:r>
        <w:rPr>
          <w:rFonts w:ascii="Times New Roman" w:eastAsia="Times New Roman" w:hAnsi="Times New Roman" w:cs="Times New Roman"/>
          <w:sz w:val="28"/>
          <w:szCs w:val="28"/>
        </w:rPr>
        <w:t xml:space="preserve"> за 2023 г.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реално работили прокурори 10,3 бр.</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w:t>
      </w:r>
    </w:p>
    <w:p w14:paraId="0DA98CDA" w14:textId="77777777" w:rsidR="00EC1E22" w:rsidRDefault="00EC1E22" w:rsidP="00EC1E22">
      <w:pPr>
        <w:spacing w:after="0" w:line="240" w:lineRule="auto"/>
        <w:jc w:val="both"/>
        <w:rPr>
          <w:rFonts w:ascii="Times New Roman" w:eastAsia="Times New Roman" w:hAnsi="Times New Roman" w:cs="Times New Roman"/>
          <w:b/>
          <w:sz w:val="28"/>
          <w:szCs w:val="28"/>
          <w:highlight w:val="yellow"/>
        </w:rPr>
      </w:pPr>
    </w:p>
    <w:p w14:paraId="3C8D5293" w14:textId="77777777" w:rsidR="00EC1E22" w:rsidRDefault="00EC1E22" w:rsidP="00EC1E22">
      <w:pPr>
        <w:spacing w:after="0" w:line="240" w:lineRule="auto"/>
        <w:ind w:left="-567" w:firstLine="567"/>
        <w:jc w:val="both"/>
        <w:rPr>
          <w:rFonts w:ascii="Times New Roman" w:eastAsia="Times New Roman" w:hAnsi="Times New Roman" w:cs="Times New Roman"/>
          <w:sz w:val="24"/>
          <w:szCs w:val="24"/>
        </w:rPr>
      </w:pPr>
    </w:p>
    <w:p w14:paraId="14A5A0E7" w14:textId="77777777" w:rsidR="00EC1E22" w:rsidRDefault="00EC1E22" w:rsidP="003568C6">
      <w:pPr>
        <w:pStyle w:val="a4"/>
        <w:tabs>
          <w:tab w:val="left" w:pos="567"/>
        </w:tabs>
        <w:rPr>
          <w:rFonts w:ascii="Times New Roman" w:eastAsia="Cambria" w:hAnsi="Times New Roman" w:cs="Times New Roman"/>
          <w:b/>
          <w:color w:val="FF0000"/>
          <w:sz w:val="28"/>
          <w:szCs w:val="28"/>
        </w:rPr>
      </w:pPr>
    </w:p>
    <w:p w14:paraId="311A8D0B" w14:textId="77777777" w:rsidR="00EC1E22" w:rsidRDefault="00EC1E22" w:rsidP="00EC1E22">
      <w:pPr>
        <w:pStyle w:val="a4"/>
        <w:tabs>
          <w:tab w:val="left" w:pos="426"/>
        </w:tabs>
        <w:ind w:left="-567" w:right="-427" w:firstLine="567"/>
        <w:jc w:val="center"/>
        <w:rPr>
          <w:rFonts w:ascii="Times New Roman" w:eastAsia="Cambria"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ar-SA"/>
        </w:rPr>
        <w:lastRenderedPageBreak/>
        <w:t xml:space="preserve">РАЗДЕЛ </w:t>
      </w:r>
      <w:r>
        <w:rPr>
          <w:rFonts w:ascii="Times New Roman" w:eastAsia="Times New Roman" w:hAnsi="Times New Roman" w:cs="Times New Roman"/>
          <w:b/>
          <w:color w:val="000000" w:themeColor="text1"/>
          <w:sz w:val="28"/>
          <w:szCs w:val="28"/>
          <w:lang w:val="en-US" w:eastAsia="ar-SA"/>
        </w:rPr>
        <w:t>I</w:t>
      </w:r>
      <w:r>
        <w:rPr>
          <w:rFonts w:ascii="Times New Roman" w:eastAsia="Times New Roman" w:hAnsi="Times New Roman" w:cs="Times New Roman"/>
          <w:b/>
          <w:color w:val="000000" w:themeColor="text1"/>
          <w:sz w:val="28"/>
          <w:szCs w:val="28"/>
          <w:lang w:eastAsia="ar-SA"/>
        </w:rPr>
        <w:t xml:space="preserve">Х. </w:t>
      </w:r>
      <w:bookmarkStart w:id="53" w:name="OLE_LINK33"/>
      <w:r>
        <w:rPr>
          <w:rFonts w:ascii="Times New Roman" w:eastAsia="Cambria" w:hAnsi="Times New Roman" w:cs="Times New Roman"/>
          <w:b/>
          <w:color w:val="000000" w:themeColor="text1"/>
          <w:sz w:val="28"/>
          <w:szCs w:val="28"/>
        </w:rPr>
        <w:t>ПРИОРИТЕТИ В ДЕЙНОСТТА НА  ПРОКУРАТУРАТА И НА РАЗСЛЕДВАЩИТЕ ОРГАНИ</w:t>
      </w:r>
    </w:p>
    <w:p w14:paraId="62A1B1A4" w14:textId="77777777" w:rsidR="00EC1E22" w:rsidRDefault="00EC1E22" w:rsidP="00EC1E22">
      <w:pPr>
        <w:pStyle w:val="a4"/>
        <w:tabs>
          <w:tab w:val="left" w:pos="426"/>
        </w:tabs>
        <w:ind w:left="-567" w:right="-427" w:firstLine="567"/>
        <w:jc w:val="center"/>
        <w:rPr>
          <w:rFonts w:ascii="Times New Roman" w:eastAsia="Cambria" w:hAnsi="Times New Roman" w:cs="Times New Roman"/>
          <w:b/>
          <w:color w:val="000000" w:themeColor="text1"/>
          <w:sz w:val="28"/>
          <w:szCs w:val="28"/>
        </w:rPr>
      </w:pPr>
    </w:p>
    <w:p w14:paraId="7028C7D4" w14:textId="77777777" w:rsidR="00EC1E22" w:rsidRDefault="00EC1E22" w:rsidP="00EC1E22">
      <w:pPr>
        <w:pStyle w:val="a4"/>
        <w:tabs>
          <w:tab w:val="left" w:pos="426"/>
        </w:tabs>
        <w:ind w:left="-567" w:right="-427" w:firstLine="567"/>
        <w:jc w:val="center"/>
        <w:rPr>
          <w:rFonts w:ascii="Times New Roman" w:eastAsia="Cambria" w:hAnsi="Times New Roman" w:cs="Times New Roman"/>
          <w:b/>
          <w:color w:val="000000" w:themeColor="text1"/>
          <w:sz w:val="28"/>
          <w:szCs w:val="28"/>
        </w:rPr>
      </w:pPr>
    </w:p>
    <w:p w14:paraId="6786F564"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color w:val="FF0000"/>
          <w:sz w:val="28"/>
          <w:szCs w:val="28"/>
        </w:rPr>
      </w:pPr>
    </w:p>
    <w:p w14:paraId="3F80F464" w14:textId="77777777" w:rsidR="00EC1E22" w:rsidRDefault="00EC1E22" w:rsidP="00EC1E22">
      <w:pPr>
        <w:pStyle w:val="11"/>
        <w:tabs>
          <w:tab w:val="left" w:pos="426"/>
        </w:tabs>
        <w:ind w:left="-567" w:right="-427"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Предвид обобщените изводи, отразени в разделите на настоящия доклад, може да бъде направен извод за това, че през 2025 г. прокурорите от Окръжна прокуратура Пазарджик и Районна прокуратура Пазарджик са се справили успешно със своите функции и задачи. </w:t>
      </w:r>
    </w:p>
    <w:p w14:paraId="512C6BDB"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 xml:space="preserve">Приоритетно през 2026 година прокурорите от Пазарджишкия съдебен район следва да работят за подобряване на следните показатели: </w:t>
      </w:r>
    </w:p>
    <w:p w14:paraId="30328DFF" w14:textId="77777777" w:rsidR="00EC1E22" w:rsidRDefault="00EC1E22" w:rsidP="00EC1E22">
      <w:pPr>
        <w:pStyle w:val="aa"/>
        <w:widowControl w:val="0"/>
        <w:numPr>
          <w:ilvl w:val="0"/>
          <w:numId w:val="49"/>
        </w:numPr>
        <w:tabs>
          <w:tab w:val="left" w:pos="0"/>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Своевременно приключване на разследването по досъдебните производства и най-вече на тези със срок на разследване над три години, които следва да бъдат сведени до минимум. </w:t>
      </w:r>
    </w:p>
    <w:p w14:paraId="1E7E3685" w14:textId="77777777" w:rsidR="00EC1E22" w:rsidRDefault="00EC1E22" w:rsidP="00EC1E22">
      <w:pPr>
        <w:pStyle w:val="aa"/>
        <w:widowControl w:val="0"/>
        <w:numPr>
          <w:ilvl w:val="0"/>
          <w:numId w:val="49"/>
        </w:numPr>
        <w:tabs>
          <w:tab w:val="left" w:pos="426"/>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Акцентиране върху срочността и качеството на работата на прокурорите по неприключените досъдебните производства срещу лица с две и повече дела, наблюдавани в района. Необходимо е във всички случаи, когато са налице предпоставките на закона в съда да се внасят  искания за вземане на МНО „задържане под стража“, което ще предотврати бъдещата престъпна дейност на тези лица. </w:t>
      </w:r>
    </w:p>
    <w:p w14:paraId="6AFE5FB6" w14:textId="77777777" w:rsidR="00EC1E22" w:rsidRDefault="00EC1E22" w:rsidP="00EC1E22">
      <w:pPr>
        <w:pStyle w:val="aa"/>
        <w:widowControl w:val="0"/>
        <w:numPr>
          <w:ilvl w:val="0"/>
          <w:numId w:val="49"/>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Продължаване на дейността на прокуратурата по отношение на корупционните престъпления и тези свързани с организираната престъпност. За целта Окръжна прокуратура Пазарджик, като орган, който следва да координира дейността на всички правоохранителни органи да продължи дейността по провеждане на периодични срещи с ТД на НАП, териториалната структура на ДАНС и икономическа полиция, предвид комплекс от целенасочени мероприятия за разкриване на тези престъпления. </w:t>
      </w:r>
      <w:bookmarkStart w:id="54" w:name="OLE_LINK72"/>
    </w:p>
    <w:bookmarkEnd w:id="54"/>
    <w:p w14:paraId="3BAAA953" w14:textId="77777777" w:rsidR="00EC1E22" w:rsidRDefault="00EC1E22" w:rsidP="00EC1E22">
      <w:pPr>
        <w:pStyle w:val="aa"/>
        <w:widowControl w:val="0"/>
        <w:numPr>
          <w:ilvl w:val="0"/>
          <w:numId w:val="49"/>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Продължаване дейността на Прокуратурата по противодействие на престъпността по линия на пътно – транспортите произшествия, причинени от водачи след употреба на алкохол и/или наркотични вещества чрез провеждане на периодични срещи с полицейските органи и регулярни полицейски операции на територията на област Пазарджик.</w:t>
      </w:r>
    </w:p>
    <w:p w14:paraId="1D2EB7AF" w14:textId="77777777" w:rsidR="00EC1E22" w:rsidRDefault="00EC1E22" w:rsidP="00EC1E22">
      <w:pPr>
        <w:pStyle w:val="aa"/>
        <w:widowControl w:val="0"/>
        <w:numPr>
          <w:ilvl w:val="0"/>
          <w:numId w:val="49"/>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olor w:val="000000" w:themeColor="text1"/>
          <w:sz w:val="28"/>
          <w:szCs w:val="28"/>
          <w:lang w:bidi="bg-BG"/>
        </w:rPr>
        <w:t xml:space="preserve"> </w:t>
      </w:r>
      <w:r>
        <w:rPr>
          <w:rFonts w:ascii="Times New Roman" w:eastAsia="Times New Roman" w:hAnsi="Times New Roman" w:cs="Times New Roman"/>
          <w:color w:val="000000" w:themeColor="text1"/>
          <w:sz w:val="28"/>
          <w:szCs w:val="28"/>
          <w:lang w:bidi="bg-BG"/>
        </w:rPr>
        <w:t>Противодействие на „битовата престъпност“. В съзвучие с приоритетите на ПРБ Окръжна прокуратура Пазарджик ще положи всички необходими усилия в тази насока.</w:t>
      </w:r>
      <w:r>
        <w:rPr>
          <w:rFonts w:ascii="Times New Roman" w:eastAsia="Cambria" w:hAnsi="Times New Roman" w:cs="Times New Roman"/>
          <w:color w:val="000000" w:themeColor="text1"/>
          <w:sz w:val="28"/>
          <w:szCs w:val="28"/>
        </w:rPr>
        <w:t xml:space="preserve"> Продължаване на специализирани полицейски операции на територията на ОД на МВР Пазарджик, под ръководството на Окръжна прокуратура Пазарджик.</w:t>
      </w:r>
      <w:r>
        <w:rPr>
          <w:rFonts w:ascii="Times New Roman" w:eastAsia="Times New Roman" w:hAnsi="Times New Roman"/>
          <w:color w:val="000000" w:themeColor="text1"/>
          <w:sz w:val="28"/>
          <w:szCs w:val="28"/>
          <w:lang w:bidi="bg-BG"/>
        </w:rPr>
        <w:t xml:space="preserve"> </w:t>
      </w:r>
    </w:p>
    <w:p w14:paraId="244988F2" w14:textId="77777777" w:rsidR="00EC1E22" w:rsidRDefault="00EC1E22" w:rsidP="00EC1E22">
      <w:pPr>
        <w:pStyle w:val="aa"/>
        <w:widowControl w:val="0"/>
        <w:numPr>
          <w:ilvl w:val="0"/>
          <w:numId w:val="49"/>
        </w:numPr>
        <w:tabs>
          <w:tab w:val="left" w:pos="426"/>
          <w:tab w:val="left" w:pos="851"/>
        </w:tab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bookmarkStart w:id="55" w:name="OLE_LINK12"/>
      <w:r>
        <w:rPr>
          <w:rFonts w:ascii="Times New Roman" w:eastAsia="Times New Roman" w:hAnsi="Times New Roman" w:cs="Times New Roman"/>
          <w:color w:val="000000" w:themeColor="text1"/>
          <w:sz w:val="28"/>
          <w:szCs w:val="28"/>
          <w:lang w:bidi="bg-BG"/>
        </w:rPr>
        <w:t xml:space="preserve">Продължаване дейността на Прокуратурата по </w:t>
      </w:r>
      <w:bookmarkEnd w:id="55"/>
      <w:r>
        <w:rPr>
          <w:rFonts w:ascii="Times New Roman" w:eastAsia="Times New Roman" w:hAnsi="Times New Roman" w:cs="Times New Roman"/>
          <w:color w:val="000000" w:themeColor="text1"/>
          <w:sz w:val="28"/>
          <w:szCs w:val="28"/>
          <w:lang w:bidi="bg-BG"/>
        </w:rPr>
        <w:t>противодействие на престъпността по линия на разпространението на наркотични вещества, чрез провеждане на периодични срещи с полицейските органи и регулярни полицейски операции като основно следва да се наблегне на учебните заведения и обществените места.</w:t>
      </w:r>
    </w:p>
    <w:p w14:paraId="3417739F" w14:textId="77777777" w:rsidR="00EC1E22" w:rsidRDefault="00EC1E22" w:rsidP="00EC1E22">
      <w:pPr>
        <w:pStyle w:val="aa"/>
        <w:widowControl w:val="0"/>
        <w:numPr>
          <w:ilvl w:val="0"/>
          <w:numId w:val="49"/>
        </w:numPr>
        <w:tabs>
          <w:tab w:val="left" w:pos="426"/>
          <w:tab w:val="left" w:pos="851"/>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 xml:space="preserve"> </w:t>
      </w:r>
      <w:r>
        <w:rPr>
          <w:rFonts w:ascii="Times New Roman" w:eastAsia="Cambria" w:hAnsi="Times New Roman" w:cs="Times New Roman"/>
          <w:color w:val="000000" w:themeColor="text1"/>
          <w:sz w:val="28"/>
          <w:szCs w:val="28"/>
        </w:rPr>
        <w:t xml:space="preserve">По - активно приложение на правилото на чл.194 ал.1 т. 4 НПК по възлагане на дела за разследване от следователите, за ангажирането им при разследвания с фактическа и правна сложност. </w:t>
      </w:r>
      <w:r>
        <w:rPr>
          <w:rFonts w:ascii="Times New Roman" w:eastAsia="Times New Roman" w:hAnsi="Times New Roman" w:cs="Times New Roman"/>
          <w:color w:val="000000" w:themeColor="text1"/>
          <w:sz w:val="28"/>
          <w:szCs w:val="28"/>
          <w:lang w:bidi="bg-BG"/>
        </w:rPr>
        <w:t xml:space="preserve">Продължаване на усилията за ефективно използване на професионалния капацитет на следователите, </w:t>
      </w:r>
      <w:r>
        <w:rPr>
          <w:rFonts w:ascii="Times New Roman" w:eastAsia="Times New Roman" w:hAnsi="Times New Roman" w:cs="Times New Roman"/>
          <w:color w:val="000000" w:themeColor="text1"/>
          <w:sz w:val="28"/>
          <w:szCs w:val="28"/>
          <w:lang w:bidi="bg-BG"/>
        </w:rPr>
        <w:lastRenderedPageBreak/>
        <w:t>посредством оптимизиране на тяхната натовареност, съобразно възможностите по НПК.</w:t>
      </w:r>
    </w:p>
    <w:p w14:paraId="02BB6E16" w14:textId="77777777" w:rsidR="00EC1E22" w:rsidRDefault="00EC1E22" w:rsidP="00EC1E22">
      <w:pPr>
        <w:pStyle w:val="aa"/>
        <w:widowControl w:val="0"/>
        <w:numPr>
          <w:ilvl w:val="0"/>
          <w:numId w:val="49"/>
        </w:numPr>
        <w:tabs>
          <w:tab w:val="left" w:pos="426"/>
          <w:tab w:val="left" w:pos="851"/>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Cambria" w:hAnsi="Times New Roman" w:cs="Times New Roman"/>
          <w:color w:val="000000" w:themeColor="text1"/>
          <w:sz w:val="28"/>
          <w:szCs w:val="28"/>
        </w:rPr>
        <w:t xml:space="preserve">И през настоящата година, прокурорите следва да държат сметка за това, че престъпността се интернационализира и в максимална степен да използват възможностите за международна правна помощ, включително и търсейки съдействието на българските представители в </w:t>
      </w:r>
      <w:proofErr w:type="spellStart"/>
      <w:r>
        <w:rPr>
          <w:rFonts w:ascii="Times New Roman" w:eastAsia="Cambria" w:hAnsi="Times New Roman" w:cs="Times New Roman"/>
          <w:color w:val="000000" w:themeColor="text1"/>
          <w:sz w:val="28"/>
          <w:szCs w:val="28"/>
        </w:rPr>
        <w:t>Евроджъст</w:t>
      </w:r>
      <w:proofErr w:type="spellEnd"/>
      <w:r>
        <w:rPr>
          <w:rFonts w:ascii="Times New Roman" w:eastAsia="Cambria" w:hAnsi="Times New Roman" w:cs="Times New Roman"/>
          <w:color w:val="000000" w:themeColor="text1"/>
          <w:sz w:val="28"/>
          <w:szCs w:val="28"/>
        </w:rPr>
        <w:t>, както и п</w:t>
      </w:r>
      <w:r>
        <w:rPr>
          <w:rFonts w:ascii="Times New Roman" w:eastAsia="Times New Roman" w:hAnsi="Times New Roman" w:cs="Times New Roman"/>
          <w:color w:val="000000" w:themeColor="text1"/>
          <w:sz w:val="28"/>
          <w:szCs w:val="28"/>
          <w:lang w:bidi="bg-BG"/>
        </w:rPr>
        <w:t xml:space="preserve">оддържане на достигнатото високо ниво на ефективно взаимодействие с Европейската прокуратура. </w:t>
      </w:r>
    </w:p>
    <w:p w14:paraId="6B7AF4DE" w14:textId="77777777" w:rsidR="00EC1E22" w:rsidRDefault="00EC1E22" w:rsidP="00EC1E22">
      <w:pPr>
        <w:pStyle w:val="aa"/>
        <w:widowControl w:val="0"/>
        <w:numPr>
          <w:ilvl w:val="0"/>
          <w:numId w:val="49"/>
        </w:numPr>
        <w:tabs>
          <w:tab w:val="left" w:pos="426"/>
          <w:tab w:val="left" w:pos="851"/>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Остава постоянен приоритет ефективното упражняване на контрол от страна на административните ръководители, по реда на Закона за съдебната власт, с оглед предотвратяване на неоснователно забавяне на преписки и дела.</w:t>
      </w:r>
    </w:p>
    <w:p w14:paraId="6710CF4D" w14:textId="77777777" w:rsidR="00EC1E22" w:rsidRDefault="00EC1E22" w:rsidP="00EC1E22">
      <w:pPr>
        <w:pStyle w:val="aa"/>
        <w:widowControl w:val="0"/>
        <w:numPr>
          <w:ilvl w:val="0"/>
          <w:numId w:val="49"/>
        </w:numPr>
        <w:tabs>
          <w:tab w:val="left" w:pos="426"/>
          <w:tab w:val="left" w:pos="851"/>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Times New Roman" w:hAnsi="Times New Roman" w:cs="Times New Roman"/>
          <w:color w:val="000000" w:themeColor="text1"/>
          <w:sz w:val="28"/>
          <w:szCs w:val="28"/>
          <w:lang w:bidi="bg-BG"/>
        </w:rPr>
        <w:t>И през настоящата година да се работи в посока на намаляване броя на върнатите дела от Съда. За подобряване дейността по този показател е необходимо да се повишат изискванията и контролът на наблюдаващия прокурор при провеждане на разследването и допусканите процесуални нарушения своевременно да се отстраняват. Разбира се, акцентът и усилията следва да бъдат насочени към повишаване качеството на работата, както на досъдебното производство, така и при изготвяне на прокурорските актове, внасяни в съд. Способ в тази насока остава засилената безкомпромисна взискателност, както към качеството на разследването, така и по отношение качеството на прокурорските актове.</w:t>
      </w:r>
    </w:p>
    <w:p w14:paraId="0AEDA80C" w14:textId="77777777" w:rsidR="00EC1E22" w:rsidRDefault="00EC1E22" w:rsidP="00EC1E22">
      <w:pPr>
        <w:pStyle w:val="aa"/>
        <w:widowControl w:val="0"/>
        <w:numPr>
          <w:ilvl w:val="0"/>
          <w:numId w:val="49"/>
        </w:numPr>
        <w:tabs>
          <w:tab w:val="left" w:pos="426"/>
          <w:tab w:val="left" w:pos="851"/>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r>
        <w:rPr>
          <w:rFonts w:ascii="Times New Roman" w:eastAsia="Cambria" w:hAnsi="Times New Roman" w:cs="Times New Roman"/>
          <w:color w:val="000000" w:themeColor="text1"/>
          <w:sz w:val="28"/>
          <w:szCs w:val="28"/>
        </w:rPr>
        <w:t xml:space="preserve">Следва да продължи тенденцията за провежданата от Прокуратурата медийна политика, с цел популяризиране на функциите и правомощията й, подобряване на правната култура на гражданите, осигуряване прозрачност в работата на институцията и създаване на доверие у населението. Като добра практика следва да се посочи участието на прокурори от Районна прокуратура Пазарджик и Окръжна прокуратура Пазарджик в изнесени обучения в учебни заведения  на територията на Пазарджик и запознаване на учащите се с правомощията и целите на прокурорската дейност. </w:t>
      </w:r>
      <w:r>
        <w:rPr>
          <w:rFonts w:ascii="Times New Roman" w:eastAsia="Times New Roman" w:hAnsi="Times New Roman" w:cs="Times New Roman"/>
          <w:color w:val="000000" w:themeColor="text1"/>
          <w:sz w:val="28"/>
          <w:szCs w:val="28"/>
          <w:lang w:bidi="bg-BG"/>
        </w:rPr>
        <w:t>Трайно съобразяване на публичната комуникация на ПРБ с обществеността с изискванията за прозрачност и отчетност.</w:t>
      </w:r>
    </w:p>
    <w:p w14:paraId="5A549D7D" w14:textId="77777777" w:rsidR="00EC1E22" w:rsidRDefault="00EC1E22" w:rsidP="00EC1E22">
      <w:pPr>
        <w:pStyle w:val="aa"/>
        <w:numPr>
          <w:ilvl w:val="0"/>
          <w:numId w:val="49"/>
        </w:numPr>
        <w:tabs>
          <w:tab w:val="left" w:pos="426"/>
          <w:tab w:val="left" w:pos="851"/>
          <w:tab w:val="left" w:pos="1134"/>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Cambria" w:hAnsi="Times New Roman" w:cs="Times New Roman"/>
          <w:color w:val="000000" w:themeColor="text1"/>
          <w:sz w:val="28"/>
          <w:szCs w:val="28"/>
        </w:rPr>
        <w:t>През 2026 г. следва да продължи работата по реализирането на проекта за новата сграда, в която ще бъдат настанени магистратите и служителите от Окръжна прокуратура Пазарджик и Районна прокуратура Пазарджик.</w:t>
      </w:r>
    </w:p>
    <w:bookmarkEnd w:id="53"/>
    <w:p w14:paraId="7B2AA909" w14:textId="77777777" w:rsidR="00EC1E22" w:rsidRDefault="00EC1E22" w:rsidP="00EC1E22">
      <w:pPr>
        <w:pStyle w:val="aa"/>
        <w:tabs>
          <w:tab w:val="left" w:pos="426"/>
          <w:tab w:val="left" w:pos="851"/>
          <w:tab w:val="left" w:pos="1134"/>
        </w:tabs>
        <w:suppressAutoHyphens/>
        <w:spacing w:after="0" w:line="240" w:lineRule="auto"/>
        <w:ind w:left="-567" w:right="-427" w:firstLine="567"/>
        <w:jc w:val="both"/>
        <w:rPr>
          <w:rFonts w:ascii="Times New Roman" w:eastAsia="Times New Roman" w:hAnsi="Times New Roman" w:cs="Times New Roman"/>
          <w:color w:val="000000" w:themeColor="text1"/>
          <w:sz w:val="28"/>
          <w:szCs w:val="28"/>
          <w:lang w:bidi="bg-BG"/>
        </w:rPr>
      </w:pPr>
    </w:p>
    <w:p w14:paraId="2EA3BC4D" w14:textId="77777777" w:rsidR="00EC1E22" w:rsidRDefault="00EC1E22" w:rsidP="00EC1E22">
      <w:pPr>
        <w:pStyle w:val="aa"/>
        <w:tabs>
          <w:tab w:val="left" w:pos="426"/>
          <w:tab w:val="left" w:pos="851"/>
          <w:tab w:val="left" w:pos="1134"/>
        </w:tabs>
        <w:suppressAutoHyphens/>
        <w:spacing w:after="0" w:line="240" w:lineRule="auto"/>
        <w:ind w:left="-567" w:right="-427" w:firstLine="567"/>
        <w:jc w:val="both"/>
        <w:rPr>
          <w:rFonts w:ascii="Times New Roman" w:eastAsia="Cambria"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bidi="bg-BG"/>
        </w:rPr>
        <w:t>Така формулираните цели и мерки са адекватни, реални и напълно изпълними и ще доведат до надграждане на добрите практики в дейността на Окръжна прокуратура Пазарджик и до преодоляване на съществуващите проблеми. Те имат за цел подобряване на работата на Прокуратурата, с оглед на трайни и необратими положителни тенденции по отношение на срочността на разследването, спад по отношение на върнатите дела и оправдателните присъди, подобряване процента на разкриваемост в Пазарджишки съдебен район и издигане обществения престиж на Прокуратурата като цяло.</w:t>
      </w:r>
    </w:p>
    <w:p w14:paraId="3FA5B930"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p>
    <w:p w14:paraId="53BE4179"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t>АДМИНИСТРАТИВЕН РЪКОВОДИТЕЛ,</w:t>
      </w:r>
    </w:p>
    <w:p w14:paraId="44E2B365" w14:textId="77777777" w:rsidR="00EC1E22" w:rsidRDefault="00EC1E22" w:rsidP="00EC1E22">
      <w:pPr>
        <w:tabs>
          <w:tab w:val="left" w:pos="426"/>
        </w:tabs>
        <w:suppressAutoHyphens/>
        <w:spacing w:after="0" w:line="240" w:lineRule="auto"/>
        <w:ind w:left="-567" w:right="-427" w:firstLine="567"/>
        <w:jc w:val="both"/>
        <w:rPr>
          <w:rFonts w:ascii="Times New Roman" w:eastAsia="Cambria" w:hAnsi="Times New Roman" w:cs="Times New Roman"/>
          <w:b/>
          <w:sz w:val="28"/>
          <w:szCs w:val="28"/>
        </w:rPr>
      </w:pPr>
      <w:r>
        <w:rPr>
          <w:rFonts w:ascii="Times New Roman" w:eastAsia="Cambria" w:hAnsi="Times New Roman" w:cs="Times New Roman"/>
          <w:b/>
          <w:sz w:val="28"/>
          <w:szCs w:val="28"/>
        </w:rPr>
        <w:t xml:space="preserve">        </w:t>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Pr>
          <w:rFonts w:ascii="Times New Roman" w:eastAsia="Cambria" w:hAnsi="Times New Roman" w:cs="Times New Roman"/>
          <w:b/>
          <w:sz w:val="28"/>
          <w:szCs w:val="28"/>
          <w:lang w:val="en-US"/>
        </w:rPr>
        <w:tab/>
      </w:r>
      <w:r>
        <w:rPr>
          <w:rFonts w:ascii="Times New Roman" w:eastAsia="Cambria" w:hAnsi="Times New Roman" w:cs="Times New Roman"/>
          <w:b/>
          <w:sz w:val="28"/>
          <w:szCs w:val="28"/>
        </w:rPr>
        <w:tab/>
        <w:t>ОКРЪЖЕН ПРОКУРОР:</w:t>
      </w:r>
    </w:p>
    <w:p w14:paraId="21DC2B00" w14:textId="304AF761" w:rsidR="00611CA2" w:rsidRDefault="00EC1E22" w:rsidP="004F26A9">
      <w:pPr>
        <w:tabs>
          <w:tab w:val="left" w:pos="426"/>
        </w:tabs>
        <w:suppressAutoHyphens/>
        <w:spacing w:after="0" w:line="240" w:lineRule="auto"/>
        <w:ind w:left="-567" w:right="-427" w:firstLine="567"/>
        <w:jc w:val="both"/>
        <w:rPr>
          <w:rFonts w:ascii="Times New Roman" w:eastAsia="Cambria" w:hAnsi="Times New Roman" w:cs="Times New Roman"/>
          <w:b/>
          <w:color w:val="FF0000"/>
          <w:sz w:val="28"/>
          <w:szCs w:val="28"/>
          <w:lang w:val="en-US"/>
        </w:rPr>
      </w:pPr>
      <w:r>
        <w:rPr>
          <w:rFonts w:ascii="Times New Roman" w:eastAsia="Cambria" w:hAnsi="Times New Roman" w:cs="Times New Roman"/>
          <w:b/>
          <w:sz w:val="28"/>
          <w:szCs w:val="28"/>
        </w:rPr>
        <w:t xml:space="preserve">                                                 </w:t>
      </w:r>
      <w:r>
        <w:rPr>
          <w:rFonts w:ascii="Times New Roman" w:eastAsia="Cambria" w:hAnsi="Times New Roman" w:cs="Times New Roman"/>
          <w:b/>
          <w:sz w:val="28"/>
          <w:szCs w:val="28"/>
        </w:rPr>
        <w:tab/>
      </w:r>
      <w:r>
        <w:rPr>
          <w:rFonts w:ascii="Times New Roman" w:eastAsia="Cambria" w:hAnsi="Times New Roman" w:cs="Times New Roman"/>
          <w:b/>
          <w:sz w:val="28"/>
          <w:szCs w:val="28"/>
        </w:rPr>
        <w:tab/>
      </w:r>
      <w:r w:rsidR="004F26A9">
        <w:rPr>
          <w:rFonts w:ascii="Times New Roman" w:eastAsia="Cambria" w:hAnsi="Times New Roman" w:cs="Times New Roman"/>
          <w:b/>
          <w:sz w:val="28"/>
          <w:szCs w:val="28"/>
          <w:lang w:val="en-US"/>
        </w:rPr>
        <w:t xml:space="preserve">           </w:t>
      </w:r>
      <w:r>
        <w:rPr>
          <w:rFonts w:ascii="Times New Roman" w:eastAsia="Cambria" w:hAnsi="Times New Roman" w:cs="Times New Roman"/>
          <w:b/>
          <w:sz w:val="28"/>
          <w:szCs w:val="28"/>
        </w:rPr>
        <w:tab/>
        <w:t xml:space="preserve"> /АЛБЕНА КУЗМАНОВА/</w:t>
      </w:r>
    </w:p>
    <w:sectPr w:rsidR="00611CA2" w:rsidSect="0025068E">
      <w:footerReference w:type="default" r:id="rId29"/>
      <w:pgSz w:w="11906" w:h="16838"/>
      <w:pgMar w:top="851" w:right="1417" w:bottom="567" w:left="1417" w:header="70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25841" w14:textId="77777777" w:rsidR="00BA6D15" w:rsidRDefault="00BA6D15" w:rsidP="00E16612">
      <w:pPr>
        <w:spacing w:after="0" w:line="240" w:lineRule="auto"/>
      </w:pPr>
      <w:r>
        <w:separator/>
      </w:r>
    </w:p>
  </w:endnote>
  <w:endnote w:type="continuationSeparator" w:id="0">
    <w:p w14:paraId="38CB7EED" w14:textId="77777777" w:rsidR="00BA6D15" w:rsidRDefault="00BA6D15" w:rsidP="00E1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7240278"/>
      <w:docPartObj>
        <w:docPartGallery w:val="Page Numbers (Bottom of Page)"/>
        <w:docPartUnique/>
      </w:docPartObj>
    </w:sdtPr>
    <w:sdtContent>
      <w:p w14:paraId="47ABE83E" w14:textId="77777777" w:rsidR="00F00EAE" w:rsidRDefault="00F00EAE" w:rsidP="000243B7">
        <w:pPr>
          <w:pStyle w:val="ae"/>
          <w:jc w:val="right"/>
        </w:pPr>
        <w:r w:rsidRPr="000243B7">
          <w:rPr>
            <w:rFonts w:ascii="Times New Roman" w:hAnsi="Times New Roman" w:cs="Times New Roman"/>
            <w:sz w:val="20"/>
            <w:szCs w:val="20"/>
          </w:rPr>
          <w:fldChar w:fldCharType="begin"/>
        </w:r>
        <w:r w:rsidRPr="000243B7">
          <w:rPr>
            <w:rFonts w:ascii="Times New Roman" w:hAnsi="Times New Roman" w:cs="Times New Roman"/>
            <w:sz w:val="20"/>
            <w:szCs w:val="20"/>
          </w:rPr>
          <w:instrText>PAGE   \* MERGEFORMAT</w:instrText>
        </w:r>
        <w:r w:rsidRPr="000243B7">
          <w:rPr>
            <w:rFonts w:ascii="Times New Roman" w:hAnsi="Times New Roman" w:cs="Times New Roman"/>
            <w:sz w:val="20"/>
            <w:szCs w:val="20"/>
          </w:rPr>
          <w:fldChar w:fldCharType="separate"/>
        </w:r>
        <w:r w:rsidR="00E312E6">
          <w:rPr>
            <w:rFonts w:ascii="Times New Roman" w:hAnsi="Times New Roman" w:cs="Times New Roman"/>
            <w:noProof/>
            <w:sz w:val="20"/>
            <w:szCs w:val="20"/>
          </w:rPr>
          <w:t>44</w:t>
        </w:r>
        <w:r w:rsidRPr="000243B7">
          <w:rPr>
            <w:rFonts w:ascii="Times New Roman" w:hAnsi="Times New Roman" w:cs="Times New Roman"/>
            <w:sz w:val="20"/>
            <w:szCs w:val="20"/>
          </w:rPr>
          <w:fldChar w:fldCharType="end"/>
        </w:r>
      </w:p>
    </w:sdtContent>
  </w:sdt>
  <w:p w14:paraId="28F97EF2" w14:textId="77777777" w:rsidR="00F00EAE" w:rsidRDefault="00F00EAE">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E394F" w14:textId="77777777" w:rsidR="00BA6D15" w:rsidRDefault="00BA6D15" w:rsidP="00E16612">
      <w:pPr>
        <w:spacing w:after="0" w:line="240" w:lineRule="auto"/>
      </w:pPr>
      <w:r>
        <w:separator/>
      </w:r>
    </w:p>
  </w:footnote>
  <w:footnote w:type="continuationSeparator" w:id="0">
    <w:p w14:paraId="7861F7AC" w14:textId="77777777" w:rsidR="00BA6D15" w:rsidRDefault="00BA6D15" w:rsidP="00E166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8A08A8"/>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4783A30"/>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name w:val="WW8Num1"/>
    <w:lvl w:ilvl="0">
      <w:start w:val="1"/>
      <w:numFmt w:val="bullet"/>
      <w:lvlText w:val=""/>
      <w:lvlJc w:val="left"/>
      <w:pPr>
        <w:tabs>
          <w:tab w:val="num" w:pos="0"/>
        </w:tabs>
        <w:ind w:left="0" w:firstLine="0"/>
      </w:pPr>
      <w:rPr>
        <w:rFonts w:ascii="Wingdings 2" w:hAnsi="Wingdings 2"/>
      </w:rPr>
    </w:lvl>
    <w:lvl w:ilvl="1">
      <w:numFmt w:val="decimal"/>
      <w:lvlText w:val="%2"/>
      <w:lvlJc w:val="left"/>
      <w:pPr>
        <w:tabs>
          <w:tab w:val="num" w:pos="0"/>
        </w:tabs>
        <w:ind w:left="0" w:firstLine="0"/>
      </w:pPr>
      <w:rPr>
        <w:rFonts w:cs="Times New Roman"/>
      </w:rPr>
    </w:lvl>
    <w:lvl w:ilvl="2">
      <w:numFmt w:val="decimal"/>
      <w:lvlText w:val="%3"/>
      <w:lvlJc w:val="left"/>
      <w:pPr>
        <w:tabs>
          <w:tab w:val="num" w:pos="0"/>
        </w:tabs>
        <w:ind w:left="0" w:firstLine="0"/>
      </w:pPr>
      <w:rPr>
        <w:rFonts w:cs="Times New Roman"/>
      </w:rPr>
    </w:lvl>
    <w:lvl w:ilvl="3">
      <w:numFmt w:val="decimal"/>
      <w:lvlText w:val="%4"/>
      <w:lvlJc w:val="left"/>
      <w:pPr>
        <w:tabs>
          <w:tab w:val="num" w:pos="0"/>
        </w:tabs>
        <w:ind w:left="0" w:firstLine="0"/>
      </w:pPr>
      <w:rPr>
        <w:rFonts w:cs="Times New Roman"/>
      </w:rPr>
    </w:lvl>
    <w:lvl w:ilvl="4">
      <w:numFmt w:val="decimal"/>
      <w:lvlText w:val="%5"/>
      <w:lvlJc w:val="left"/>
      <w:pPr>
        <w:tabs>
          <w:tab w:val="num" w:pos="0"/>
        </w:tabs>
        <w:ind w:left="0" w:firstLine="0"/>
      </w:pPr>
      <w:rPr>
        <w:rFonts w:cs="Times New Roman"/>
      </w:rPr>
    </w:lvl>
    <w:lvl w:ilvl="5">
      <w:numFmt w:val="decimal"/>
      <w:lvlText w:val="%6"/>
      <w:lvlJc w:val="left"/>
      <w:pPr>
        <w:tabs>
          <w:tab w:val="num" w:pos="0"/>
        </w:tabs>
        <w:ind w:left="0" w:firstLine="0"/>
      </w:pPr>
      <w:rPr>
        <w:rFonts w:cs="Times New Roman"/>
      </w:rPr>
    </w:lvl>
    <w:lvl w:ilvl="6">
      <w:numFmt w:val="decimal"/>
      <w:lvlText w:val="%7"/>
      <w:lvlJc w:val="left"/>
      <w:pPr>
        <w:tabs>
          <w:tab w:val="num" w:pos="0"/>
        </w:tabs>
        <w:ind w:left="0" w:firstLine="0"/>
      </w:pPr>
      <w:rPr>
        <w:rFonts w:cs="Times New Roman"/>
      </w:rPr>
    </w:lvl>
    <w:lvl w:ilvl="7">
      <w:numFmt w:val="decimal"/>
      <w:lvlText w:val="%8"/>
      <w:lvlJc w:val="left"/>
      <w:pPr>
        <w:tabs>
          <w:tab w:val="num" w:pos="0"/>
        </w:tabs>
        <w:ind w:left="0" w:firstLine="0"/>
      </w:pPr>
      <w:rPr>
        <w:rFonts w:cs="Times New Roman"/>
      </w:rPr>
    </w:lvl>
    <w:lvl w:ilvl="8">
      <w:numFmt w:val="decimal"/>
      <w:lvlText w:val="%9"/>
      <w:lvlJc w:val="left"/>
      <w:pPr>
        <w:tabs>
          <w:tab w:val="num" w:pos="0"/>
        </w:tabs>
        <w:ind w:left="0" w:firstLine="0"/>
      </w:pPr>
      <w:rPr>
        <w:rFonts w:cs="Times New Roman"/>
      </w:rPr>
    </w:lvl>
  </w:abstractNum>
  <w:abstractNum w:abstractNumId="3" w15:restartNumberingAfterBreak="0">
    <w:nsid w:val="011357E5"/>
    <w:multiLevelType w:val="hybridMultilevel"/>
    <w:tmpl w:val="DE38A180"/>
    <w:lvl w:ilvl="0" w:tplc="3C8C13AA">
      <w:start w:val="1"/>
      <w:numFmt w:val="decimal"/>
      <w:lvlText w:val="%1."/>
      <w:lvlJc w:val="left"/>
      <w:pPr>
        <w:ind w:left="360" w:hanging="360"/>
      </w:pPr>
      <w:rPr>
        <w:rFonts w:hint="default"/>
      </w:rPr>
    </w:lvl>
    <w:lvl w:ilvl="1" w:tplc="04020019">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4" w15:restartNumberingAfterBreak="0">
    <w:nsid w:val="0383577F"/>
    <w:multiLevelType w:val="multilevel"/>
    <w:tmpl w:val="FA2CFE1A"/>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E217AC"/>
    <w:multiLevelType w:val="multilevel"/>
    <w:tmpl w:val="40F67D30"/>
    <w:lvl w:ilvl="0">
      <w:start w:val="3"/>
      <w:numFmt w:val="decimal"/>
      <w:lvlText w:val="%1."/>
      <w:lvlJc w:val="left"/>
      <w:pPr>
        <w:ind w:left="36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88D2F54"/>
    <w:multiLevelType w:val="multilevel"/>
    <w:tmpl w:val="BE8A61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E9634BB"/>
    <w:multiLevelType w:val="hybridMultilevel"/>
    <w:tmpl w:val="D27EB62A"/>
    <w:lvl w:ilvl="0" w:tplc="F67A355E">
      <w:start w:val="1"/>
      <w:numFmt w:val="decimal"/>
      <w:lvlText w:val="%1."/>
      <w:lvlJc w:val="left"/>
      <w:pPr>
        <w:ind w:left="1080" w:hanging="360"/>
      </w:pPr>
      <w:rPr>
        <w:rFonts w:hint="default"/>
        <w:color w:val="auto"/>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8" w15:restartNumberingAfterBreak="0">
    <w:nsid w:val="10CD3503"/>
    <w:multiLevelType w:val="hybridMultilevel"/>
    <w:tmpl w:val="0E7AAEA6"/>
    <w:lvl w:ilvl="0" w:tplc="8A1CE62E">
      <w:start w:val="1"/>
      <w:numFmt w:val="decimal"/>
      <w:lvlText w:val="%1."/>
      <w:lvlJc w:val="left"/>
      <w:pPr>
        <w:ind w:left="1215" w:hanging="360"/>
      </w:pPr>
      <w:rPr>
        <w:rFonts w:hint="default"/>
      </w:rPr>
    </w:lvl>
    <w:lvl w:ilvl="1" w:tplc="04020019" w:tentative="1">
      <w:start w:val="1"/>
      <w:numFmt w:val="lowerLetter"/>
      <w:lvlText w:val="%2."/>
      <w:lvlJc w:val="left"/>
      <w:pPr>
        <w:ind w:left="1935" w:hanging="360"/>
      </w:pPr>
    </w:lvl>
    <w:lvl w:ilvl="2" w:tplc="0402001B" w:tentative="1">
      <w:start w:val="1"/>
      <w:numFmt w:val="lowerRoman"/>
      <w:lvlText w:val="%3."/>
      <w:lvlJc w:val="right"/>
      <w:pPr>
        <w:ind w:left="2655" w:hanging="180"/>
      </w:pPr>
    </w:lvl>
    <w:lvl w:ilvl="3" w:tplc="0402000F" w:tentative="1">
      <w:start w:val="1"/>
      <w:numFmt w:val="decimal"/>
      <w:lvlText w:val="%4."/>
      <w:lvlJc w:val="left"/>
      <w:pPr>
        <w:ind w:left="3375" w:hanging="360"/>
      </w:pPr>
    </w:lvl>
    <w:lvl w:ilvl="4" w:tplc="04020019" w:tentative="1">
      <w:start w:val="1"/>
      <w:numFmt w:val="lowerLetter"/>
      <w:lvlText w:val="%5."/>
      <w:lvlJc w:val="left"/>
      <w:pPr>
        <w:ind w:left="4095" w:hanging="360"/>
      </w:pPr>
    </w:lvl>
    <w:lvl w:ilvl="5" w:tplc="0402001B" w:tentative="1">
      <w:start w:val="1"/>
      <w:numFmt w:val="lowerRoman"/>
      <w:lvlText w:val="%6."/>
      <w:lvlJc w:val="right"/>
      <w:pPr>
        <w:ind w:left="4815" w:hanging="180"/>
      </w:pPr>
    </w:lvl>
    <w:lvl w:ilvl="6" w:tplc="0402000F" w:tentative="1">
      <w:start w:val="1"/>
      <w:numFmt w:val="decimal"/>
      <w:lvlText w:val="%7."/>
      <w:lvlJc w:val="left"/>
      <w:pPr>
        <w:ind w:left="5535" w:hanging="360"/>
      </w:pPr>
    </w:lvl>
    <w:lvl w:ilvl="7" w:tplc="04020019" w:tentative="1">
      <w:start w:val="1"/>
      <w:numFmt w:val="lowerLetter"/>
      <w:lvlText w:val="%8."/>
      <w:lvlJc w:val="left"/>
      <w:pPr>
        <w:ind w:left="6255" w:hanging="360"/>
      </w:pPr>
    </w:lvl>
    <w:lvl w:ilvl="8" w:tplc="0402001B" w:tentative="1">
      <w:start w:val="1"/>
      <w:numFmt w:val="lowerRoman"/>
      <w:lvlText w:val="%9."/>
      <w:lvlJc w:val="right"/>
      <w:pPr>
        <w:ind w:left="6975" w:hanging="180"/>
      </w:pPr>
    </w:lvl>
  </w:abstractNum>
  <w:abstractNum w:abstractNumId="9" w15:restartNumberingAfterBreak="0">
    <w:nsid w:val="126D092D"/>
    <w:multiLevelType w:val="hybridMultilevel"/>
    <w:tmpl w:val="54C0CA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17071A66"/>
    <w:multiLevelType w:val="hybridMultilevel"/>
    <w:tmpl w:val="DF2E95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195E66EC"/>
    <w:multiLevelType w:val="hybridMultilevel"/>
    <w:tmpl w:val="1DE40628"/>
    <w:lvl w:ilvl="0" w:tplc="4F166D00">
      <w:numFmt w:val="bullet"/>
      <w:lvlText w:val="-"/>
      <w:lvlJc w:val="left"/>
      <w:pPr>
        <w:ind w:left="2484" w:hanging="1350"/>
      </w:pPr>
      <w:rPr>
        <w:rFonts w:ascii="Times New Roman" w:eastAsia="Cambria"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2" w15:restartNumberingAfterBreak="0">
    <w:nsid w:val="196A392B"/>
    <w:multiLevelType w:val="multilevel"/>
    <w:tmpl w:val="A7FCD87E"/>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15:restartNumberingAfterBreak="0">
    <w:nsid w:val="1C6F0D6F"/>
    <w:multiLevelType w:val="hybridMultilevel"/>
    <w:tmpl w:val="F960A0F6"/>
    <w:lvl w:ilvl="0" w:tplc="0402000F">
      <w:start w:val="1"/>
      <w:numFmt w:val="decimal"/>
      <w:lvlText w:val="%1."/>
      <w:lvlJc w:val="left"/>
      <w:pPr>
        <w:ind w:left="1495" w:hanging="360"/>
      </w:pPr>
    </w:lvl>
    <w:lvl w:ilvl="1" w:tplc="04020019" w:tentative="1">
      <w:start w:val="1"/>
      <w:numFmt w:val="lowerLetter"/>
      <w:lvlText w:val="%2."/>
      <w:lvlJc w:val="left"/>
      <w:pPr>
        <w:ind w:left="2215" w:hanging="360"/>
      </w:pPr>
    </w:lvl>
    <w:lvl w:ilvl="2" w:tplc="0402001B" w:tentative="1">
      <w:start w:val="1"/>
      <w:numFmt w:val="lowerRoman"/>
      <w:lvlText w:val="%3."/>
      <w:lvlJc w:val="right"/>
      <w:pPr>
        <w:ind w:left="2935" w:hanging="180"/>
      </w:pPr>
    </w:lvl>
    <w:lvl w:ilvl="3" w:tplc="0402000F" w:tentative="1">
      <w:start w:val="1"/>
      <w:numFmt w:val="decimal"/>
      <w:lvlText w:val="%4."/>
      <w:lvlJc w:val="left"/>
      <w:pPr>
        <w:ind w:left="3655" w:hanging="360"/>
      </w:pPr>
    </w:lvl>
    <w:lvl w:ilvl="4" w:tplc="04020019" w:tentative="1">
      <w:start w:val="1"/>
      <w:numFmt w:val="lowerLetter"/>
      <w:lvlText w:val="%5."/>
      <w:lvlJc w:val="left"/>
      <w:pPr>
        <w:ind w:left="4375" w:hanging="360"/>
      </w:pPr>
    </w:lvl>
    <w:lvl w:ilvl="5" w:tplc="0402001B" w:tentative="1">
      <w:start w:val="1"/>
      <w:numFmt w:val="lowerRoman"/>
      <w:lvlText w:val="%6."/>
      <w:lvlJc w:val="right"/>
      <w:pPr>
        <w:ind w:left="5095" w:hanging="180"/>
      </w:pPr>
    </w:lvl>
    <w:lvl w:ilvl="6" w:tplc="0402000F" w:tentative="1">
      <w:start w:val="1"/>
      <w:numFmt w:val="decimal"/>
      <w:lvlText w:val="%7."/>
      <w:lvlJc w:val="left"/>
      <w:pPr>
        <w:ind w:left="5815" w:hanging="360"/>
      </w:pPr>
    </w:lvl>
    <w:lvl w:ilvl="7" w:tplc="04020019" w:tentative="1">
      <w:start w:val="1"/>
      <w:numFmt w:val="lowerLetter"/>
      <w:lvlText w:val="%8."/>
      <w:lvlJc w:val="left"/>
      <w:pPr>
        <w:ind w:left="6535" w:hanging="360"/>
      </w:pPr>
    </w:lvl>
    <w:lvl w:ilvl="8" w:tplc="0402001B" w:tentative="1">
      <w:start w:val="1"/>
      <w:numFmt w:val="lowerRoman"/>
      <w:lvlText w:val="%9."/>
      <w:lvlJc w:val="right"/>
      <w:pPr>
        <w:ind w:left="7255" w:hanging="180"/>
      </w:pPr>
    </w:lvl>
  </w:abstractNum>
  <w:abstractNum w:abstractNumId="14" w15:restartNumberingAfterBreak="0">
    <w:nsid w:val="1DB72E95"/>
    <w:multiLevelType w:val="multilevel"/>
    <w:tmpl w:val="ABE87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3E69BE"/>
    <w:multiLevelType w:val="hybridMultilevel"/>
    <w:tmpl w:val="316ED54C"/>
    <w:lvl w:ilvl="0" w:tplc="00506182">
      <w:start w:val="2025"/>
      <w:numFmt w:val="bullet"/>
      <w:lvlText w:val="-"/>
      <w:lvlJc w:val="left"/>
      <w:pPr>
        <w:ind w:left="36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16" w15:restartNumberingAfterBreak="0">
    <w:nsid w:val="22B47E4D"/>
    <w:multiLevelType w:val="hybridMultilevel"/>
    <w:tmpl w:val="5FC0CB34"/>
    <w:lvl w:ilvl="0" w:tplc="709229C2">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7" w15:restartNumberingAfterBreak="0">
    <w:nsid w:val="235475E3"/>
    <w:multiLevelType w:val="hybridMultilevel"/>
    <w:tmpl w:val="5A2CCCC0"/>
    <w:lvl w:ilvl="0" w:tplc="BAE459FA">
      <w:numFmt w:val="bullet"/>
      <w:lvlText w:val="-"/>
      <w:lvlJc w:val="left"/>
      <w:pPr>
        <w:ind w:left="927" w:hanging="360"/>
      </w:pPr>
      <w:rPr>
        <w:rFonts w:ascii="Times New Roman" w:eastAsia="Times New Roman" w:hAnsi="Times New Roman" w:cs="Times New Roman" w:hint="default"/>
      </w:rPr>
    </w:lvl>
    <w:lvl w:ilvl="1" w:tplc="04020003">
      <w:start w:val="1"/>
      <w:numFmt w:val="bullet"/>
      <w:lvlText w:val="o"/>
      <w:lvlJc w:val="left"/>
      <w:pPr>
        <w:ind w:left="1647" w:hanging="360"/>
      </w:pPr>
      <w:rPr>
        <w:rFonts w:ascii="Courier New" w:hAnsi="Courier New" w:cs="Courier New" w:hint="default"/>
      </w:rPr>
    </w:lvl>
    <w:lvl w:ilvl="2" w:tplc="04020005">
      <w:start w:val="1"/>
      <w:numFmt w:val="bullet"/>
      <w:lvlText w:val=""/>
      <w:lvlJc w:val="left"/>
      <w:pPr>
        <w:ind w:left="2367" w:hanging="360"/>
      </w:pPr>
      <w:rPr>
        <w:rFonts w:ascii="Wingdings" w:hAnsi="Wingdings" w:hint="default"/>
      </w:rPr>
    </w:lvl>
    <w:lvl w:ilvl="3" w:tplc="04020001">
      <w:start w:val="1"/>
      <w:numFmt w:val="bullet"/>
      <w:lvlText w:val=""/>
      <w:lvlJc w:val="left"/>
      <w:pPr>
        <w:ind w:left="3087" w:hanging="360"/>
      </w:pPr>
      <w:rPr>
        <w:rFonts w:ascii="Symbol" w:hAnsi="Symbol" w:hint="default"/>
      </w:rPr>
    </w:lvl>
    <w:lvl w:ilvl="4" w:tplc="04020003">
      <w:start w:val="1"/>
      <w:numFmt w:val="bullet"/>
      <w:lvlText w:val="o"/>
      <w:lvlJc w:val="left"/>
      <w:pPr>
        <w:ind w:left="3807" w:hanging="360"/>
      </w:pPr>
      <w:rPr>
        <w:rFonts w:ascii="Courier New" w:hAnsi="Courier New" w:cs="Courier New" w:hint="default"/>
      </w:rPr>
    </w:lvl>
    <w:lvl w:ilvl="5" w:tplc="04020005">
      <w:start w:val="1"/>
      <w:numFmt w:val="bullet"/>
      <w:lvlText w:val=""/>
      <w:lvlJc w:val="left"/>
      <w:pPr>
        <w:ind w:left="4527" w:hanging="360"/>
      </w:pPr>
      <w:rPr>
        <w:rFonts w:ascii="Wingdings" w:hAnsi="Wingdings" w:hint="default"/>
      </w:rPr>
    </w:lvl>
    <w:lvl w:ilvl="6" w:tplc="04020001">
      <w:start w:val="1"/>
      <w:numFmt w:val="bullet"/>
      <w:lvlText w:val=""/>
      <w:lvlJc w:val="left"/>
      <w:pPr>
        <w:ind w:left="5247" w:hanging="360"/>
      </w:pPr>
      <w:rPr>
        <w:rFonts w:ascii="Symbol" w:hAnsi="Symbol" w:hint="default"/>
      </w:rPr>
    </w:lvl>
    <w:lvl w:ilvl="7" w:tplc="04020003">
      <w:start w:val="1"/>
      <w:numFmt w:val="bullet"/>
      <w:lvlText w:val="o"/>
      <w:lvlJc w:val="left"/>
      <w:pPr>
        <w:ind w:left="5967" w:hanging="360"/>
      </w:pPr>
      <w:rPr>
        <w:rFonts w:ascii="Courier New" w:hAnsi="Courier New" w:cs="Courier New" w:hint="default"/>
      </w:rPr>
    </w:lvl>
    <w:lvl w:ilvl="8" w:tplc="04020005">
      <w:start w:val="1"/>
      <w:numFmt w:val="bullet"/>
      <w:lvlText w:val=""/>
      <w:lvlJc w:val="left"/>
      <w:pPr>
        <w:ind w:left="6687" w:hanging="360"/>
      </w:pPr>
      <w:rPr>
        <w:rFonts w:ascii="Wingdings" w:hAnsi="Wingdings" w:hint="default"/>
      </w:rPr>
    </w:lvl>
  </w:abstractNum>
  <w:abstractNum w:abstractNumId="18" w15:restartNumberingAfterBreak="0">
    <w:nsid w:val="24B43BCB"/>
    <w:multiLevelType w:val="multilevel"/>
    <w:tmpl w:val="1B6A010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A4607B"/>
    <w:multiLevelType w:val="hybridMultilevel"/>
    <w:tmpl w:val="4FBAFB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32AB1783"/>
    <w:multiLevelType w:val="hybridMultilevel"/>
    <w:tmpl w:val="6684698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1" w15:restartNumberingAfterBreak="0">
    <w:nsid w:val="39B50C1C"/>
    <w:multiLevelType w:val="hybridMultilevel"/>
    <w:tmpl w:val="36AAA12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2" w15:restartNumberingAfterBreak="0">
    <w:nsid w:val="39C907D1"/>
    <w:multiLevelType w:val="hybridMultilevel"/>
    <w:tmpl w:val="3468EAC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3" w15:restartNumberingAfterBreak="0">
    <w:nsid w:val="3EFF76C4"/>
    <w:multiLevelType w:val="hybridMultilevel"/>
    <w:tmpl w:val="19344EA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F417219"/>
    <w:multiLevelType w:val="multilevel"/>
    <w:tmpl w:val="D1C648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1FF09FE"/>
    <w:multiLevelType w:val="hybridMultilevel"/>
    <w:tmpl w:val="D8F48AD8"/>
    <w:lvl w:ilvl="0" w:tplc="ECCA8222">
      <w:start w:val="1"/>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26" w15:restartNumberingAfterBreak="0">
    <w:nsid w:val="53314AD7"/>
    <w:multiLevelType w:val="hybridMultilevel"/>
    <w:tmpl w:val="8660BB2A"/>
    <w:lvl w:ilvl="0" w:tplc="3ECC6FB8">
      <w:start w:val="5"/>
      <w:numFmt w:val="bullet"/>
      <w:lvlText w:val=""/>
      <w:lvlJc w:val="left"/>
      <w:pPr>
        <w:ind w:left="720" w:hanging="360"/>
      </w:pPr>
      <w:rPr>
        <w:rFonts w:ascii="Symbol" w:eastAsia="Cambria" w:hAnsi="Symbol"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27" w15:restartNumberingAfterBreak="0">
    <w:nsid w:val="58672227"/>
    <w:multiLevelType w:val="multilevel"/>
    <w:tmpl w:val="D6EE1B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7E2FA6"/>
    <w:multiLevelType w:val="hybridMultilevel"/>
    <w:tmpl w:val="5C0A7366"/>
    <w:lvl w:ilvl="0" w:tplc="3B9E9EA2">
      <w:start w:val="1"/>
      <w:numFmt w:val="decimal"/>
      <w:lvlText w:val="%1."/>
      <w:lvlJc w:val="left"/>
      <w:pPr>
        <w:ind w:left="1068" w:hanging="360"/>
      </w:pPr>
      <w:rPr>
        <w:rFonts w:hint="default"/>
      </w:rPr>
    </w:lvl>
    <w:lvl w:ilvl="1" w:tplc="04020019" w:tentative="1">
      <w:start w:val="1"/>
      <w:numFmt w:val="lowerLetter"/>
      <w:lvlText w:val="%2."/>
      <w:lvlJc w:val="left"/>
      <w:pPr>
        <w:ind w:left="2496" w:hanging="360"/>
      </w:pPr>
    </w:lvl>
    <w:lvl w:ilvl="2" w:tplc="0402001B" w:tentative="1">
      <w:start w:val="1"/>
      <w:numFmt w:val="lowerRoman"/>
      <w:lvlText w:val="%3."/>
      <w:lvlJc w:val="right"/>
      <w:pPr>
        <w:ind w:left="3216" w:hanging="180"/>
      </w:pPr>
    </w:lvl>
    <w:lvl w:ilvl="3" w:tplc="0402000F" w:tentative="1">
      <w:start w:val="1"/>
      <w:numFmt w:val="decimal"/>
      <w:lvlText w:val="%4."/>
      <w:lvlJc w:val="left"/>
      <w:pPr>
        <w:ind w:left="3936" w:hanging="360"/>
      </w:pPr>
    </w:lvl>
    <w:lvl w:ilvl="4" w:tplc="04020019" w:tentative="1">
      <w:start w:val="1"/>
      <w:numFmt w:val="lowerLetter"/>
      <w:lvlText w:val="%5."/>
      <w:lvlJc w:val="left"/>
      <w:pPr>
        <w:ind w:left="4656" w:hanging="360"/>
      </w:pPr>
    </w:lvl>
    <w:lvl w:ilvl="5" w:tplc="0402001B" w:tentative="1">
      <w:start w:val="1"/>
      <w:numFmt w:val="lowerRoman"/>
      <w:lvlText w:val="%6."/>
      <w:lvlJc w:val="right"/>
      <w:pPr>
        <w:ind w:left="5376" w:hanging="180"/>
      </w:pPr>
    </w:lvl>
    <w:lvl w:ilvl="6" w:tplc="0402000F" w:tentative="1">
      <w:start w:val="1"/>
      <w:numFmt w:val="decimal"/>
      <w:lvlText w:val="%7."/>
      <w:lvlJc w:val="left"/>
      <w:pPr>
        <w:ind w:left="6096" w:hanging="360"/>
      </w:pPr>
    </w:lvl>
    <w:lvl w:ilvl="7" w:tplc="04020019" w:tentative="1">
      <w:start w:val="1"/>
      <w:numFmt w:val="lowerLetter"/>
      <w:lvlText w:val="%8."/>
      <w:lvlJc w:val="left"/>
      <w:pPr>
        <w:ind w:left="6816" w:hanging="360"/>
      </w:pPr>
    </w:lvl>
    <w:lvl w:ilvl="8" w:tplc="0402001B" w:tentative="1">
      <w:start w:val="1"/>
      <w:numFmt w:val="lowerRoman"/>
      <w:lvlText w:val="%9."/>
      <w:lvlJc w:val="right"/>
      <w:pPr>
        <w:ind w:left="7536" w:hanging="180"/>
      </w:pPr>
    </w:lvl>
  </w:abstractNum>
  <w:abstractNum w:abstractNumId="29" w15:restartNumberingAfterBreak="0">
    <w:nsid w:val="5B836B8A"/>
    <w:multiLevelType w:val="hybridMultilevel"/>
    <w:tmpl w:val="C11E430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0" w15:restartNumberingAfterBreak="0">
    <w:nsid w:val="5D723604"/>
    <w:multiLevelType w:val="hybridMultilevel"/>
    <w:tmpl w:val="8C9CA0B2"/>
    <w:lvl w:ilvl="0" w:tplc="866EC134">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5EAE7A3B"/>
    <w:multiLevelType w:val="hybridMultilevel"/>
    <w:tmpl w:val="00C26886"/>
    <w:lvl w:ilvl="0" w:tplc="0402000F">
      <w:start w:val="1"/>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32" w15:restartNumberingAfterBreak="0">
    <w:nsid w:val="5EC61873"/>
    <w:multiLevelType w:val="hybridMultilevel"/>
    <w:tmpl w:val="28F0E852"/>
    <w:lvl w:ilvl="0" w:tplc="6DD86F6E">
      <w:numFmt w:val="bullet"/>
      <w:lvlText w:val="-"/>
      <w:lvlJc w:val="left"/>
      <w:pPr>
        <w:ind w:left="1070" w:hanging="360"/>
      </w:pPr>
      <w:rPr>
        <w:rFonts w:ascii="Times New Roman" w:eastAsia="Times New Roman" w:hAnsi="Times New Roman" w:cs="Times New Roman" w:hint="default"/>
      </w:rPr>
    </w:lvl>
    <w:lvl w:ilvl="1" w:tplc="04020003" w:tentative="1">
      <w:start w:val="1"/>
      <w:numFmt w:val="bullet"/>
      <w:lvlText w:val="o"/>
      <w:lvlJc w:val="left"/>
      <w:pPr>
        <w:ind w:left="1790" w:hanging="360"/>
      </w:pPr>
      <w:rPr>
        <w:rFonts w:ascii="Courier New" w:hAnsi="Courier New" w:cs="Courier New" w:hint="default"/>
      </w:rPr>
    </w:lvl>
    <w:lvl w:ilvl="2" w:tplc="04020005" w:tentative="1">
      <w:start w:val="1"/>
      <w:numFmt w:val="bullet"/>
      <w:lvlText w:val=""/>
      <w:lvlJc w:val="left"/>
      <w:pPr>
        <w:ind w:left="2510" w:hanging="360"/>
      </w:pPr>
      <w:rPr>
        <w:rFonts w:ascii="Wingdings" w:hAnsi="Wingdings" w:hint="default"/>
      </w:rPr>
    </w:lvl>
    <w:lvl w:ilvl="3" w:tplc="04020001" w:tentative="1">
      <w:start w:val="1"/>
      <w:numFmt w:val="bullet"/>
      <w:lvlText w:val=""/>
      <w:lvlJc w:val="left"/>
      <w:pPr>
        <w:ind w:left="3230" w:hanging="360"/>
      </w:pPr>
      <w:rPr>
        <w:rFonts w:ascii="Symbol" w:hAnsi="Symbol" w:hint="default"/>
      </w:rPr>
    </w:lvl>
    <w:lvl w:ilvl="4" w:tplc="04020003" w:tentative="1">
      <w:start w:val="1"/>
      <w:numFmt w:val="bullet"/>
      <w:lvlText w:val="o"/>
      <w:lvlJc w:val="left"/>
      <w:pPr>
        <w:ind w:left="3950" w:hanging="360"/>
      </w:pPr>
      <w:rPr>
        <w:rFonts w:ascii="Courier New" w:hAnsi="Courier New" w:cs="Courier New" w:hint="default"/>
      </w:rPr>
    </w:lvl>
    <w:lvl w:ilvl="5" w:tplc="04020005" w:tentative="1">
      <w:start w:val="1"/>
      <w:numFmt w:val="bullet"/>
      <w:lvlText w:val=""/>
      <w:lvlJc w:val="left"/>
      <w:pPr>
        <w:ind w:left="4670" w:hanging="360"/>
      </w:pPr>
      <w:rPr>
        <w:rFonts w:ascii="Wingdings" w:hAnsi="Wingdings" w:hint="default"/>
      </w:rPr>
    </w:lvl>
    <w:lvl w:ilvl="6" w:tplc="04020001" w:tentative="1">
      <w:start w:val="1"/>
      <w:numFmt w:val="bullet"/>
      <w:lvlText w:val=""/>
      <w:lvlJc w:val="left"/>
      <w:pPr>
        <w:ind w:left="5390" w:hanging="360"/>
      </w:pPr>
      <w:rPr>
        <w:rFonts w:ascii="Symbol" w:hAnsi="Symbol" w:hint="default"/>
      </w:rPr>
    </w:lvl>
    <w:lvl w:ilvl="7" w:tplc="04020003" w:tentative="1">
      <w:start w:val="1"/>
      <w:numFmt w:val="bullet"/>
      <w:lvlText w:val="o"/>
      <w:lvlJc w:val="left"/>
      <w:pPr>
        <w:ind w:left="6110" w:hanging="360"/>
      </w:pPr>
      <w:rPr>
        <w:rFonts w:ascii="Courier New" w:hAnsi="Courier New" w:cs="Courier New" w:hint="default"/>
      </w:rPr>
    </w:lvl>
    <w:lvl w:ilvl="8" w:tplc="04020005" w:tentative="1">
      <w:start w:val="1"/>
      <w:numFmt w:val="bullet"/>
      <w:lvlText w:val=""/>
      <w:lvlJc w:val="left"/>
      <w:pPr>
        <w:ind w:left="6830" w:hanging="360"/>
      </w:pPr>
      <w:rPr>
        <w:rFonts w:ascii="Wingdings" w:hAnsi="Wingdings" w:hint="default"/>
      </w:rPr>
    </w:lvl>
  </w:abstractNum>
  <w:abstractNum w:abstractNumId="33" w15:restartNumberingAfterBreak="0">
    <w:nsid w:val="64B120A5"/>
    <w:multiLevelType w:val="hybridMultilevel"/>
    <w:tmpl w:val="B36CE694"/>
    <w:lvl w:ilvl="0" w:tplc="5C56D73C">
      <w:start w:val="1"/>
      <w:numFmt w:val="decimal"/>
      <w:lvlText w:val="%1."/>
      <w:lvlJc w:val="left"/>
      <w:pPr>
        <w:ind w:left="1070" w:hanging="360"/>
      </w:pPr>
      <w:rPr>
        <w:rFonts w:hint="default"/>
        <w:b/>
        <w:u w:val="single"/>
      </w:rPr>
    </w:lvl>
    <w:lvl w:ilvl="1" w:tplc="04020019" w:tentative="1">
      <w:start w:val="1"/>
      <w:numFmt w:val="lowerLetter"/>
      <w:lvlText w:val="%2."/>
      <w:lvlJc w:val="left"/>
      <w:pPr>
        <w:ind w:left="1790" w:hanging="360"/>
      </w:pPr>
    </w:lvl>
    <w:lvl w:ilvl="2" w:tplc="0402001B" w:tentative="1">
      <w:start w:val="1"/>
      <w:numFmt w:val="lowerRoman"/>
      <w:lvlText w:val="%3."/>
      <w:lvlJc w:val="right"/>
      <w:pPr>
        <w:ind w:left="2510" w:hanging="180"/>
      </w:pPr>
    </w:lvl>
    <w:lvl w:ilvl="3" w:tplc="0402000F" w:tentative="1">
      <w:start w:val="1"/>
      <w:numFmt w:val="decimal"/>
      <w:lvlText w:val="%4."/>
      <w:lvlJc w:val="left"/>
      <w:pPr>
        <w:ind w:left="3230" w:hanging="360"/>
      </w:pPr>
    </w:lvl>
    <w:lvl w:ilvl="4" w:tplc="04020019" w:tentative="1">
      <w:start w:val="1"/>
      <w:numFmt w:val="lowerLetter"/>
      <w:lvlText w:val="%5."/>
      <w:lvlJc w:val="left"/>
      <w:pPr>
        <w:ind w:left="3950" w:hanging="360"/>
      </w:pPr>
    </w:lvl>
    <w:lvl w:ilvl="5" w:tplc="0402001B" w:tentative="1">
      <w:start w:val="1"/>
      <w:numFmt w:val="lowerRoman"/>
      <w:lvlText w:val="%6."/>
      <w:lvlJc w:val="right"/>
      <w:pPr>
        <w:ind w:left="4670" w:hanging="180"/>
      </w:pPr>
    </w:lvl>
    <w:lvl w:ilvl="6" w:tplc="0402000F" w:tentative="1">
      <w:start w:val="1"/>
      <w:numFmt w:val="decimal"/>
      <w:lvlText w:val="%7."/>
      <w:lvlJc w:val="left"/>
      <w:pPr>
        <w:ind w:left="5390" w:hanging="360"/>
      </w:pPr>
    </w:lvl>
    <w:lvl w:ilvl="7" w:tplc="04020019" w:tentative="1">
      <w:start w:val="1"/>
      <w:numFmt w:val="lowerLetter"/>
      <w:lvlText w:val="%8."/>
      <w:lvlJc w:val="left"/>
      <w:pPr>
        <w:ind w:left="6110" w:hanging="360"/>
      </w:pPr>
    </w:lvl>
    <w:lvl w:ilvl="8" w:tplc="0402001B" w:tentative="1">
      <w:start w:val="1"/>
      <w:numFmt w:val="lowerRoman"/>
      <w:lvlText w:val="%9."/>
      <w:lvlJc w:val="right"/>
      <w:pPr>
        <w:ind w:left="6830" w:hanging="180"/>
      </w:pPr>
    </w:lvl>
  </w:abstractNum>
  <w:abstractNum w:abstractNumId="34" w15:restartNumberingAfterBreak="0">
    <w:nsid w:val="64E6133C"/>
    <w:multiLevelType w:val="hybridMultilevel"/>
    <w:tmpl w:val="5D98F574"/>
    <w:lvl w:ilvl="0" w:tplc="1F2424D4">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35" w15:restartNumberingAfterBreak="0">
    <w:nsid w:val="66B276CA"/>
    <w:multiLevelType w:val="hybridMultilevel"/>
    <w:tmpl w:val="FCB2C3E8"/>
    <w:lvl w:ilvl="0" w:tplc="04020001">
      <w:start w:val="1"/>
      <w:numFmt w:val="bullet"/>
      <w:lvlText w:val=""/>
      <w:lvlJc w:val="left"/>
      <w:pPr>
        <w:ind w:left="107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6" w15:restartNumberingAfterBreak="0">
    <w:nsid w:val="679B616D"/>
    <w:multiLevelType w:val="multilevel"/>
    <w:tmpl w:val="D89C94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BB067F"/>
    <w:multiLevelType w:val="multilevel"/>
    <w:tmpl w:val="B36E25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2AD3A59"/>
    <w:multiLevelType w:val="hybridMultilevel"/>
    <w:tmpl w:val="A15CF8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9" w15:restartNumberingAfterBreak="0">
    <w:nsid w:val="740E06CC"/>
    <w:multiLevelType w:val="hybridMultilevel"/>
    <w:tmpl w:val="BBE01EEE"/>
    <w:lvl w:ilvl="0" w:tplc="CA326978">
      <w:start w:val="1"/>
      <w:numFmt w:val="upperRoman"/>
      <w:lvlText w:val="%1."/>
      <w:lvlJc w:val="left"/>
      <w:pPr>
        <w:ind w:left="153" w:hanging="720"/>
      </w:pPr>
    </w:lvl>
    <w:lvl w:ilvl="1" w:tplc="04020019">
      <w:start w:val="1"/>
      <w:numFmt w:val="lowerLetter"/>
      <w:lvlText w:val="%2."/>
      <w:lvlJc w:val="left"/>
      <w:pPr>
        <w:ind w:left="513" w:hanging="360"/>
      </w:pPr>
    </w:lvl>
    <w:lvl w:ilvl="2" w:tplc="0402001B">
      <w:start w:val="1"/>
      <w:numFmt w:val="lowerRoman"/>
      <w:lvlText w:val="%3."/>
      <w:lvlJc w:val="right"/>
      <w:pPr>
        <w:ind w:left="1233" w:hanging="180"/>
      </w:pPr>
    </w:lvl>
    <w:lvl w:ilvl="3" w:tplc="0402000F">
      <w:start w:val="1"/>
      <w:numFmt w:val="decimal"/>
      <w:lvlText w:val="%4."/>
      <w:lvlJc w:val="left"/>
      <w:pPr>
        <w:ind w:left="1953" w:hanging="360"/>
      </w:pPr>
    </w:lvl>
    <w:lvl w:ilvl="4" w:tplc="04020019">
      <w:start w:val="1"/>
      <w:numFmt w:val="lowerLetter"/>
      <w:lvlText w:val="%5."/>
      <w:lvlJc w:val="left"/>
      <w:pPr>
        <w:ind w:left="2673" w:hanging="360"/>
      </w:pPr>
    </w:lvl>
    <w:lvl w:ilvl="5" w:tplc="0402001B">
      <w:start w:val="1"/>
      <w:numFmt w:val="lowerRoman"/>
      <w:lvlText w:val="%6."/>
      <w:lvlJc w:val="right"/>
      <w:pPr>
        <w:ind w:left="3393" w:hanging="180"/>
      </w:pPr>
    </w:lvl>
    <w:lvl w:ilvl="6" w:tplc="0402000F">
      <w:start w:val="1"/>
      <w:numFmt w:val="decimal"/>
      <w:lvlText w:val="%7."/>
      <w:lvlJc w:val="left"/>
      <w:pPr>
        <w:ind w:left="4113" w:hanging="360"/>
      </w:pPr>
    </w:lvl>
    <w:lvl w:ilvl="7" w:tplc="04020019">
      <w:start w:val="1"/>
      <w:numFmt w:val="lowerLetter"/>
      <w:lvlText w:val="%8."/>
      <w:lvlJc w:val="left"/>
      <w:pPr>
        <w:ind w:left="4833" w:hanging="360"/>
      </w:pPr>
    </w:lvl>
    <w:lvl w:ilvl="8" w:tplc="0402001B">
      <w:start w:val="1"/>
      <w:numFmt w:val="lowerRoman"/>
      <w:lvlText w:val="%9."/>
      <w:lvlJc w:val="right"/>
      <w:pPr>
        <w:ind w:left="5553" w:hanging="180"/>
      </w:pPr>
    </w:lvl>
  </w:abstractNum>
  <w:abstractNum w:abstractNumId="40" w15:restartNumberingAfterBreak="0">
    <w:nsid w:val="773C07E3"/>
    <w:multiLevelType w:val="hybridMultilevel"/>
    <w:tmpl w:val="5D7CF13A"/>
    <w:lvl w:ilvl="0" w:tplc="4F166D00">
      <w:numFmt w:val="bullet"/>
      <w:lvlText w:val="-"/>
      <w:lvlJc w:val="left"/>
      <w:pPr>
        <w:ind w:left="2484" w:hanging="1350"/>
      </w:pPr>
      <w:rPr>
        <w:rFonts w:ascii="Times New Roman" w:eastAsia="Cambria"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15:restartNumberingAfterBreak="0">
    <w:nsid w:val="7FF06322"/>
    <w:multiLevelType w:val="hybridMultilevel"/>
    <w:tmpl w:val="DC9CD656"/>
    <w:lvl w:ilvl="0" w:tplc="0A467618">
      <w:start w:val="4"/>
      <w:numFmt w:val="decimal"/>
      <w:lvlText w:val="%1."/>
      <w:lvlJc w:val="left"/>
      <w:pPr>
        <w:ind w:left="1069" w:hanging="360"/>
      </w:pPr>
      <w:rPr>
        <w:rFonts w:hint="default"/>
        <w:b/>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num w:numId="1" w16cid:durableId="266812761">
    <w:abstractNumId w:val="18"/>
  </w:num>
  <w:num w:numId="2" w16cid:durableId="595599424">
    <w:abstractNumId w:val="27"/>
  </w:num>
  <w:num w:numId="3" w16cid:durableId="244068720">
    <w:abstractNumId w:val="5"/>
  </w:num>
  <w:num w:numId="4" w16cid:durableId="983660252">
    <w:abstractNumId w:val="14"/>
  </w:num>
  <w:num w:numId="5" w16cid:durableId="1923223065">
    <w:abstractNumId w:val="12"/>
  </w:num>
  <w:num w:numId="6" w16cid:durableId="221063622">
    <w:abstractNumId w:val="22"/>
  </w:num>
  <w:num w:numId="7" w16cid:durableId="1191454629">
    <w:abstractNumId w:val="24"/>
  </w:num>
  <w:num w:numId="8" w16cid:durableId="1577742042">
    <w:abstractNumId w:val="35"/>
  </w:num>
  <w:num w:numId="9" w16cid:durableId="1806122481">
    <w:abstractNumId w:val="9"/>
  </w:num>
  <w:num w:numId="10" w16cid:durableId="591470631">
    <w:abstractNumId w:val="32"/>
  </w:num>
  <w:num w:numId="11" w16cid:durableId="1268804621">
    <w:abstractNumId w:val="16"/>
  </w:num>
  <w:num w:numId="12" w16cid:durableId="1730806905">
    <w:abstractNumId w:val="2"/>
  </w:num>
  <w:num w:numId="13" w16cid:durableId="1524318110">
    <w:abstractNumId w:val="1"/>
  </w:num>
  <w:num w:numId="14" w16cid:durableId="1642878215">
    <w:abstractNumId w:val="0"/>
  </w:num>
  <w:num w:numId="15" w16cid:durableId="1193228492">
    <w:abstractNumId w:val="19"/>
  </w:num>
  <w:num w:numId="16" w16cid:durableId="755446067">
    <w:abstractNumId w:val="23"/>
  </w:num>
  <w:num w:numId="17" w16cid:durableId="981543966">
    <w:abstractNumId w:val="10"/>
  </w:num>
  <w:num w:numId="18" w16cid:durableId="1854493721">
    <w:abstractNumId w:val="8"/>
  </w:num>
  <w:num w:numId="19" w16cid:durableId="2041931046">
    <w:abstractNumId w:val="13"/>
  </w:num>
  <w:num w:numId="20" w16cid:durableId="815998366">
    <w:abstractNumId w:val="11"/>
  </w:num>
  <w:num w:numId="21" w16cid:durableId="2086756561">
    <w:abstractNumId w:val="40"/>
  </w:num>
  <w:num w:numId="22" w16cid:durableId="896358734">
    <w:abstractNumId w:val="7"/>
  </w:num>
  <w:num w:numId="23" w16cid:durableId="670791824">
    <w:abstractNumId w:val="21"/>
  </w:num>
  <w:num w:numId="24" w16cid:durableId="1228030063">
    <w:abstractNumId w:val="37"/>
  </w:num>
  <w:num w:numId="25" w16cid:durableId="601574753">
    <w:abstractNumId w:val="36"/>
  </w:num>
  <w:num w:numId="26" w16cid:durableId="603611348">
    <w:abstractNumId w:val="41"/>
  </w:num>
  <w:num w:numId="27" w16cid:durableId="641890330">
    <w:abstractNumId w:val="30"/>
  </w:num>
  <w:num w:numId="28" w16cid:durableId="1140465256">
    <w:abstractNumId w:val="34"/>
  </w:num>
  <w:num w:numId="29" w16cid:durableId="460534148">
    <w:abstractNumId w:val="33"/>
  </w:num>
  <w:num w:numId="30" w16cid:durableId="1660428015">
    <w:abstractNumId w:val="38"/>
  </w:num>
  <w:num w:numId="31" w16cid:durableId="158087064">
    <w:abstractNumId w:val="28"/>
  </w:num>
  <w:num w:numId="32" w16cid:durableId="1009911088">
    <w:abstractNumId w:val="3"/>
  </w:num>
  <w:num w:numId="33" w16cid:durableId="1174372012">
    <w:abstractNumId w:val="31"/>
  </w:num>
  <w:num w:numId="34" w16cid:durableId="364983909">
    <w:abstractNumId w:val="6"/>
  </w:num>
  <w:num w:numId="35" w16cid:durableId="888611858">
    <w:abstractNumId w:val="4"/>
  </w:num>
  <w:num w:numId="36" w16cid:durableId="1013723504">
    <w:abstractNumId w:val="25"/>
  </w:num>
  <w:num w:numId="37" w16cid:durableId="666517096">
    <w:abstractNumId w:val="17"/>
  </w:num>
  <w:num w:numId="38" w16cid:durableId="932862886">
    <w:abstractNumId w:val="26"/>
  </w:num>
  <w:num w:numId="39" w16cid:durableId="9365226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558319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63498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5679199">
    <w:abstractNumId w:val="35"/>
  </w:num>
  <w:num w:numId="43" w16cid:durableId="687677087">
    <w:abstractNumId w:val="29"/>
  </w:num>
  <w:num w:numId="44" w16cid:durableId="2116438028">
    <w:abstractNumId w:val="20"/>
  </w:num>
  <w:num w:numId="45" w16cid:durableId="155558485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2881105">
    <w:abstractNumId w:val="14"/>
  </w:num>
  <w:num w:numId="47" w16cid:durableId="650139291">
    <w:abstractNumId w:val="27"/>
  </w:num>
  <w:num w:numId="48" w16cid:durableId="587347175">
    <w:abstractNumId w:val="15"/>
  </w:num>
  <w:num w:numId="49" w16cid:durableId="17767128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4718"/>
    <w:rsid w:val="0000699C"/>
    <w:rsid w:val="000118AB"/>
    <w:rsid w:val="000223DC"/>
    <w:rsid w:val="000243B7"/>
    <w:rsid w:val="00027600"/>
    <w:rsid w:val="00030C88"/>
    <w:rsid w:val="0004403B"/>
    <w:rsid w:val="000465E3"/>
    <w:rsid w:val="00050186"/>
    <w:rsid w:val="00050EB6"/>
    <w:rsid w:val="00054CCB"/>
    <w:rsid w:val="00064C8A"/>
    <w:rsid w:val="0007086F"/>
    <w:rsid w:val="00080138"/>
    <w:rsid w:val="00080763"/>
    <w:rsid w:val="000829C4"/>
    <w:rsid w:val="00083C23"/>
    <w:rsid w:val="00087CD0"/>
    <w:rsid w:val="00090B14"/>
    <w:rsid w:val="0009279F"/>
    <w:rsid w:val="0009545C"/>
    <w:rsid w:val="000B0618"/>
    <w:rsid w:val="000C0C0E"/>
    <w:rsid w:val="000C1012"/>
    <w:rsid w:val="000C4003"/>
    <w:rsid w:val="000C4659"/>
    <w:rsid w:val="000C7258"/>
    <w:rsid w:val="000D16D7"/>
    <w:rsid w:val="000D1834"/>
    <w:rsid w:val="000D4D74"/>
    <w:rsid w:val="000E1336"/>
    <w:rsid w:val="000E2C8E"/>
    <w:rsid w:val="000F16D7"/>
    <w:rsid w:val="000F742D"/>
    <w:rsid w:val="000F7DC7"/>
    <w:rsid w:val="001022ED"/>
    <w:rsid w:val="00103A0B"/>
    <w:rsid w:val="00106896"/>
    <w:rsid w:val="0011478B"/>
    <w:rsid w:val="00122390"/>
    <w:rsid w:val="00126914"/>
    <w:rsid w:val="00135106"/>
    <w:rsid w:val="00141337"/>
    <w:rsid w:val="00145424"/>
    <w:rsid w:val="0015675A"/>
    <w:rsid w:val="0017768D"/>
    <w:rsid w:val="00184AC8"/>
    <w:rsid w:val="00184C2F"/>
    <w:rsid w:val="001867A8"/>
    <w:rsid w:val="00190986"/>
    <w:rsid w:val="001909E5"/>
    <w:rsid w:val="00197861"/>
    <w:rsid w:val="001A1493"/>
    <w:rsid w:val="001A5052"/>
    <w:rsid w:val="001B14AD"/>
    <w:rsid w:val="001B1C78"/>
    <w:rsid w:val="001C1362"/>
    <w:rsid w:val="001C2C5B"/>
    <w:rsid w:val="001D176E"/>
    <w:rsid w:val="001D5E5F"/>
    <w:rsid w:val="001D6560"/>
    <w:rsid w:val="001E0797"/>
    <w:rsid w:val="001E45E0"/>
    <w:rsid w:val="00205BA2"/>
    <w:rsid w:val="00207B0F"/>
    <w:rsid w:val="00212B72"/>
    <w:rsid w:val="00212D42"/>
    <w:rsid w:val="00215661"/>
    <w:rsid w:val="002165E2"/>
    <w:rsid w:val="00217274"/>
    <w:rsid w:val="00217679"/>
    <w:rsid w:val="0022080B"/>
    <w:rsid w:val="002219FA"/>
    <w:rsid w:val="00224003"/>
    <w:rsid w:val="002242DF"/>
    <w:rsid w:val="00233076"/>
    <w:rsid w:val="0023752D"/>
    <w:rsid w:val="00240294"/>
    <w:rsid w:val="00244A94"/>
    <w:rsid w:val="00246081"/>
    <w:rsid w:val="0025068E"/>
    <w:rsid w:val="00254186"/>
    <w:rsid w:val="002549B0"/>
    <w:rsid w:val="00254EDE"/>
    <w:rsid w:val="0026408F"/>
    <w:rsid w:val="00270F4E"/>
    <w:rsid w:val="002768E2"/>
    <w:rsid w:val="00283385"/>
    <w:rsid w:val="002942A0"/>
    <w:rsid w:val="002A09AE"/>
    <w:rsid w:val="002B1268"/>
    <w:rsid w:val="002B1A86"/>
    <w:rsid w:val="002B3C17"/>
    <w:rsid w:val="002B4314"/>
    <w:rsid w:val="002C51ED"/>
    <w:rsid w:val="002D11CD"/>
    <w:rsid w:val="002D4046"/>
    <w:rsid w:val="002D45BE"/>
    <w:rsid w:val="002D50F6"/>
    <w:rsid w:val="002D5E3D"/>
    <w:rsid w:val="002F1218"/>
    <w:rsid w:val="002F1C10"/>
    <w:rsid w:val="002F4F57"/>
    <w:rsid w:val="0030592C"/>
    <w:rsid w:val="0031130D"/>
    <w:rsid w:val="00314867"/>
    <w:rsid w:val="003153C0"/>
    <w:rsid w:val="00327068"/>
    <w:rsid w:val="00327697"/>
    <w:rsid w:val="0033501A"/>
    <w:rsid w:val="003364EE"/>
    <w:rsid w:val="00343B85"/>
    <w:rsid w:val="003460E4"/>
    <w:rsid w:val="003568C6"/>
    <w:rsid w:val="003610ED"/>
    <w:rsid w:val="003618AF"/>
    <w:rsid w:val="00362FE4"/>
    <w:rsid w:val="00366FE8"/>
    <w:rsid w:val="00375FED"/>
    <w:rsid w:val="00376B5F"/>
    <w:rsid w:val="00380938"/>
    <w:rsid w:val="00381711"/>
    <w:rsid w:val="00385452"/>
    <w:rsid w:val="003867FE"/>
    <w:rsid w:val="00394E2A"/>
    <w:rsid w:val="003B0FC3"/>
    <w:rsid w:val="003B16DD"/>
    <w:rsid w:val="003B1C27"/>
    <w:rsid w:val="003B4996"/>
    <w:rsid w:val="003B69D2"/>
    <w:rsid w:val="003C5F01"/>
    <w:rsid w:val="003D1AEC"/>
    <w:rsid w:val="003D2FEB"/>
    <w:rsid w:val="003D5798"/>
    <w:rsid w:val="003E3315"/>
    <w:rsid w:val="003F17E5"/>
    <w:rsid w:val="003F3931"/>
    <w:rsid w:val="003F5DAC"/>
    <w:rsid w:val="003F7768"/>
    <w:rsid w:val="00403968"/>
    <w:rsid w:val="00403BC5"/>
    <w:rsid w:val="0040508C"/>
    <w:rsid w:val="0040537B"/>
    <w:rsid w:val="004120AF"/>
    <w:rsid w:val="0041602B"/>
    <w:rsid w:val="0041699A"/>
    <w:rsid w:val="004177D4"/>
    <w:rsid w:val="00417B61"/>
    <w:rsid w:val="00417E46"/>
    <w:rsid w:val="004202D3"/>
    <w:rsid w:val="004228F2"/>
    <w:rsid w:val="0043725E"/>
    <w:rsid w:val="0044054D"/>
    <w:rsid w:val="00450E22"/>
    <w:rsid w:val="00452533"/>
    <w:rsid w:val="00455967"/>
    <w:rsid w:val="00456664"/>
    <w:rsid w:val="0046035D"/>
    <w:rsid w:val="0046204B"/>
    <w:rsid w:val="00462AAC"/>
    <w:rsid w:val="00463B8B"/>
    <w:rsid w:val="00463D32"/>
    <w:rsid w:val="00464AA1"/>
    <w:rsid w:val="0046558E"/>
    <w:rsid w:val="004663C9"/>
    <w:rsid w:val="004664D3"/>
    <w:rsid w:val="00466D36"/>
    <w:rsid w:val="00472179"/>
    <w:rsid w:val="0047630A"/>
    <w:rsid w:val="00481A03"/>
    <w:rsid w:val="00487743"/>
    <w:rsid w:val="00491A7E"/>
    <w:rsid w:val="004A237D"/>
    <w:rsid w:val="004A41C8"/>
    <w:rsid w:val="004C1892"/>
    <w:rsid w:val="004C18DC"/>
    <w:rsid w:val="004C1B31"/>
    <w:rsid w:val="004C5A21"/>
    <w:rsid w:val="004C7ABE"/>
    <w:rsid w:val="004D17DF"/>
    <w:rsid w:val="004D45A7"/>
    <w:rsid w:val="004E2377"/>
    <w:rsid w:val="004E33D7"/>
    <w:rsid w:val="004F1C62"/>
    <w:rsid w:val="004F26A9"/>
    <w:rsid w:val="004F3006"/>
    <w:rsid w:val="004F37D3"/>
    <w:rsid w:val="00502565"/>
    <w:rsid w:val="0050278E"/>
    <w:rsid w:val="00504121"/>
    <w:rsid w:val="005153D5"/>
    <w:rsid w:val="00517781"/>
    <w:rsid w:val="005177AA"/>
    <w:rsid w:val="00520C6F"/>
    <w:rsid w:val="00521BA1"/>
    <w:rsid w:val="00525EAF"/>
    <w:rsid w:val="00531CC9"/>
    <w:rsid w:val="00532E20"/>
    <w:rsid w:val="00532F06"/>
    <w:rsid w:val="005366EB"/>
    <w:rsid w:val="0053777D"/>
    <w:rsid w:val="00552E79"/>
    <w:rsid w:val="00552FE0"/>
    <w:rsid w:val="00557B94"/>
    <w:rsid w:val="00564233"/>
    <w:rsid w:val="00566B1B"/>
    <w:rsid w:val="005748F1"/>
    <w:rsid w:val="00581495"/>
    <w:rsid w:val="00582F5A"/>
    <w:rsid w:val="00592409"/>
    <w:rsid w:val="005B2718"/>
    <w:rsid w:val="005B6B34"/>
    <w:rsid w:val="005B7F20"/>
    <w:rsid w:val="005C1DBD"/>
    <w:rsid w:val="005D07A8"/>
    <w:rsid w:val="005D31A3"/>
    <w:rsid w:val="005D39AC"/>
    <w:rsid w:val="005D56D0"/>
    <w:rsid w:val="005E0E42"/>
    <w:rsid w:val="005F4B13"/>
    <w:rsid w:val="005F6A4C"/>
    <w:rsid w:val="006064FC"/>
    <w:rsid w:val="00607ED5"/>
    <w:rsid w:val="00611CA2"/>
    <w:rsid w:val="00613C98"/>
    <w:rsid w:val="00615FEC"/>
    <w:rsid w:val="006232A7"/>
    <w:rsid w:val="00624E25"/>
    <w:rsid w:val="0063364A"/>
    <w:rsid w:val="00641E96"/>
    <w:rsid w:val="00647A70"/>
    <w:rsid w:val="00653355"/>
    <w:rsid w:val="00653961"/>
    <w:rsid w:val="0065496D"/>
    <w:rsid w:val="00654A0F"/>
    <w:rsid w:val="00660716"/>
    <w:rsid w:val="00667BCA"/>
    <w:rsid w:val="00671E61"/>
    <w:rsid w:val="00675DE4"/>
    <w:rsid w:val="006803F5"/>
    <w:rsid w:val="00681230"/>
    <w:rsid w:val="006829B7"/>
    <w:rsid w:val="0068691B"/>
    <w:rsid w:val="00695520"/>
    <w:rsid w:val="0069595E"/>
    <w:rsid w:val="00696E60"/>
    <w:rsid w:val="006A16E7"/>
    <w:rsid w:val="006A1EDD"/>
    <w:rsid w:val="006A1FF3"/>
    <w:rsid w:val="006A4DBE"/>
    <w:rsid w:val="006B2934"/>
    <w:rsid w:val="006B3C91"/>
    <w:rsid w:val="006D0878"/>
    <w:rsid w:val="006D0D68"/>
    <w:rsid w:val="006D3315"/>
    <w:rsid w:val="006D7414"/>
    <w:rsid w:val="006E0619"/>
    <w:rsid w:val="006E0AFD"/>
    <w:rsid w:val="006E7601"/>
    <w:rsid w:val="006E7978"/>
    <w:rsid w:val="006F1484"/>
    <w:rsid w:val="006F59A0"/>
    <w:rsid w:val="0070506F"/>
    <w:rsid w:val="0071068A"/>
    <w:rsid w:val="00711CF8"/>
    <w:rsid w:val="00712166"/>
    <w:rsid w:val="00713550"/>
    <w:rsid w:val="00716DC9"/>
    <w:rsid w:val="007174E7"/>
    <w:rsid w:val="0072464D"/>
    <w:rsid w:val="00725CAC"/>
    <w:rsid w:val="00725D17"/>
    <w:rsid w:val="007363BD"/>
    <w:rsid w:val="0073769C"/>
    <w:rsid w:val="0074721B"/>
    <w:rsid w:val="00752892"/>
    <w:rsid w:val="00752B25"/>
    <w:rsid w:val="00755E0A"/>
    <w:rsid w:val="007737EC"/>
    <w:rsid w:val="007749D6"/>
    <w:rsid w:val="007807A1"/>
    <w:rsid w:val="00795DFE"/>
    <w:rsid w:val="007A1994"/>
    <w:rsid w:val="007A49BF"/>
    <w:rsid w:val="007A4CE1"/>
    <w:rsid w:val="007A4E81"/>
    <w:rsid w:val="007A7565"/>
    <w:rsid w:val="007A7B57"/>
    <w:rsid w:val="007B0A62"/>
    <w:rsid w:val="007B1A37"/>
    <w:rsid w:val="007B6CE2"/>
    <w:rsid w:val="007C2339"/>
    <w:rsid w:val="007C59ED"/>
    <w:rsid w:val="007D405C"/>
    <w:rsid w:val="007D7AAF"/>
    <w:rsid w:val="007E1AB9"/>
    <w:rsid w:val="007E4092"/>
    <w:rsid w:val="007E7B65"/>
    <w:rsid w:val="007F3222"/>
    <w:rsid w:val="00802BD6"/>
    <w:rsid w:val="00816C36"/>
    <w:rsid w:val="008259E8"/>
    <w:rsid w:val="00826D33"/>
    <w:rsid w:val="00827E41"/>
    <w:rsid w:val="00830C55"/>
    <w:rsid w:val="00831161"/>
    <w:rsid w:val="00835C49"/>
    <w:rsid w:val="00841D0B"/>
    <w:rsid w:val="008425F5"/>
    <w:rsid w:val="00842A91"/>
    <w:rsid w:val="0084583B"/>
    <w:rsid w:val="00845A82"/>
    <w:rsid w:val="00847EDB"/>
    <w:rsid w:val="008625C7"/>
    <w:rsid w:val="00862E31"/>
    <w:rsid w:val="00870065"/>
    <w:rsid w:val="00870200"/>
    <w:rsid w:val="00871189"/>
    <w:rsid w:val="008717FC"/>
    <w:rsid w:val="00877A37"/>
    <w:rsid w:val="00884247"/>
    <w:rsid w:val="0088709C"/>
    <w:rsid w:val="00893103"/>
    <w:rsid w:val="0089725E"/>
    <w:rsid w:val="008A4594"/>
    <w:rsid w:val="008A526E"/>
    <w:rsid w:val="008B0602"/>
    <w:rsid w:val="008B1282"/>
    <w:rsid w:val="008B2845"/>
    <w:rsid w:val="008B48DF"/>
    <w:rsid w:val="008C1748"/>
    <w:rsid w:val="008C2169"/>
    <w:rsid w:val="008C2EAC"/>
    <w:rsid w:val="008D2F60"/>
    <w:rsid w:val="008D32A8"/>
    <w:rsid w:val="008D383C"/>
    <w:rsid w:val="008D4731"/>
    <w:rsid w:val="008E05B4"/>
    <w:rsid w:val="008E2C92"/>
    <w:rsid w:val="008E37D4"/>
    <w:rsid w:val="008E7A53"/>
    <w:rsid w:val="008F2229"/>
    <w:rsid w:val="008F280B"/>
    <w:rsid w:val="008F431A"/>
    <w:rsid w:val="00900851"/>
    <w:rsid w:val="009039F5"/>
    <w:rsid w:val="009042EA"/>
    <w:rsid w:val="00907A9D"/>
    <w:rsid w:val="00910079"/>
    <w:rsid w:val="0091162E"/>
    <w:rsid w:val="00921239"/>
    <w:rsid w:val="009230EE"/>
    <w:rsid w:val="00926581"/>
    <w:rsid w:val="009316A2"/>
    <w:rsid w:val="00931901"/>
    <w:rsid w:val="00932DD3"/>
    <w:rsid w:val="009376BE"/>
    <w:rsid w:val="0094131B"/>
    <w:rsid w:val="00941B43"/>
    <w:rsid w:val="00942253"/>
    <w:rsid w:val="00945296"/>
    <w:rsid w:val="009521EE"/>
    <w:rsid w:val="00971C11"/>
    <w:rsid w:val="0099572E"/>
    <w:rsid w:val="009A56DE"/>
    <w:rsid w:val="009B313C"/>
    <w:rsid w:val="009C273E"/>
    <w:rsid w:val="009C2E73"/>
    <w:rsid w:val="009C4008"/>
    <w:rsid w:val="009C4E92"/>
    <w:rsid w:val="009C52AA"/>
    <w:rsid w:val="009C5478"/>
    <w:rsid w:val="009C6B41"/>
    <w:rsid w:val="009D021E"/>
    <w:rsid w:val="009D1211"/>
    <w:rsid w:val="009E3208"/>
    <w:rsid w:val="009E3370"/>
    <w:rsid w:val="009E59E6"/>
    <w:rsid w:val="009F360F"/>
    <w:rsid w:val="00A10332"/>
    <w:rsid w:val="00A1036D"/>
    <w:rsid w:val="00A16D15"/>
    <w:rsid w:val="00A356BB"/>
    <w:rsid w:val="00A35CC9"/>
    <w:rsid w:val="00A46AC1"/>
    <w:rsid w:val="00A5014B"/>
    <w:rsid w:val="00A52C6D"/>
    <w:rsid w:val="00A54B83"/>
    <w:rsid w:val="00A60230"/>
    <w:rsid w:val="00A617B5"/>
    <w:rsid w:val="00A67875"/>
    <w:rsid w:val="00A7179B"/>
    <w:rsid w:val="00A74B7E"/>
    <w:rsid w:val="00A776B3"/>
    <w:rsid w:val="00A83D66"/>
    <w:rsid w:val="00A93836"/>
    <w:rsid w:val="00A96C24"/>
    <w:rsid w:val="00AA027B"/>
    <w:rsid w:val="00AA2B3E"/>
    <w:rsid w:val="00AB14A7"/>
    <w:rsid w:val="00AB380F"/>
    <w:rsid w:val="00AC403F"/>
    <w:rsid w:val="00AD0A64"/>
    <w:rsid w:val="00AD0EAF"/>
    <w:rsid w:val="00AE4680"/>
    <w:rsid w:val="00AE63BD"/>
    <w:rsid w:val="00AE67E0"/>
    <w:rsid w:val="00AF4981"/>
    <w:rsid w:val="00B0243D"/>
    <w:rsid w:val="00B04850"/>
    <w:rsid w:val="00B164DD"/>
    <w:rsid w:val="00B2140A"/>
    <w:rsid w:val="00B239E0"/>
    <w:rsid w:val="00B2661B"/>
    <w:rsid w:val="00B273CF"/>
    <w:rsid w:val="00B30F60"/>
    <w:rsid w:val="00B36C2E"/>
    <w:rsid w:val="00B3775F"/>
    <w:rsid w:val="00B4123D"/>
    <w:rsid w:val="00B41B9E"/>
    <w:rsid w:val="00B44718"/>
    <w:rsid w:val="00B503B0"/>
    <w:rsid w:val="00B56327"/>
    <w:rsid w:val="00B572EA"/>
    <w:rsid w:val="00B57623"/>
    <w:rsid w:val="00B57665"/>
    <w:rsid w:val="00B5777B"/>
    <w:rsid w:val="00B603F5"/>
    <w:rsid w:val="00B6217C"/>
    <w:rsid w:val="00B63BCE"/>
    <w:rsid w:val="00B71C3E"/>
    <w:rsid w:val="00B82932"/>
    <w:rsid w:val="00B84AF9"/>
    <w:rsid w:val="00B85750"/>
    <w:rsid w:val="00B87943"/>
    <w:rsid w:val="00B9562E"/>
    <w:rsid w:val="00BA6BEA"/>
    <w:rsid w:val="00BA6D15"/>
    <w:rsid w:val="00BB0427"/>
    <w:rsid w:val="00BB19EA"/>
    <w:rsid w:val="00BB4A6C"/>
    <w:rsid w:val="00BC4FF0"/>
    <w:rsid w:val="00BC66C8"/>
    <w:rsid w:val="00BD6990"/>
    <w:rsid w:val="00BF0F6C"/>
    <w:rsid w:val="00BF1131"/>
    <w:rsid w:val="00BF5A54"/>
    <w:rsid w:val="00C06560"/>
    <w:rsid w:val="00C1078B"/>
    <w:rsid w:val="00C215BB"/>
    <w:rsid w:val="00C45A38"/>
    <w:rsid w:val="00C4605A"/>
    <w:rsid w:val="00C50F91"/>
    <w:rsid w:val="00C7007E"/>
    <w:rsid w:val="00C73212"/>
    <w:rsid w:val="00C76DD4"/>
    <w:rsid w:val="00C80AF7"/>
    <w:rsid w:val="00C82000"/>
    <w:rsid w:val="00C90FE1"/>
    <w:rsid w:val="00C96430"/>
    <w:rsid w:val="00C97419"/>
    <w:rsid w:val="00CA5984"/>
    <w:rsid w:val="00CA7DB5"/>
    <w:rsid w:val="00CB486A"/>
    <w:rsid w:val="00CC211A"/>
    <w:rsid w:val="00CC7496"/>
    <w:rsid w:val="00CD6808"/>
    <w:rsid w:val="00CD70DF"/>
    <w:rsid w:val="00CE327D"/>
    <w:rsid w:val="00CE4801"/>
    <w:rsid w:val="00CF130F"/>
    <w:rsid w:val="00CF5A96"/>
    <w:rsid w:val="00CF6E69"/>
    <w:rsid w:val="00CF7481"/>
    <w:rsid w:val="00D07EB7"/>
    <w:rsid w:val="00D216CB"/>
    <w:rsid w:val="00D251A3"/>
    <w:rsid w:val="00D26347"/>
    <w:rsid w:val="00D2745A"/>
    <w:rsid w:val="00D31E3C"/>
    <w:rsid w:val="00D33BDE"/>
    <w:rsid w:val="00D340C1"/>
    <w:rsid w:val="00D41969"/>
    <w:rsid w:val="00D419DA"/>
    <w:rsid w:val="00D421F5"/>
    <w:rsid w:val="00D44EA4"/>
    <w:rsid w:val="00D50F83"/>
    <w:rsid w:val="00D604C6"/>
    <w:rsid w:val="00D60C5C"/>
    <w:rsid w:val="00D61CBB"/>
    <w:rsid w:val="00D63418"/>
    <w:rsid w:val="00D673CF"/>
    <w:rsid w:val="00D72B21"/>
    <w:rsid w:val="00D749C1"/>
    <w:rsid w:val="00D74FFA"/>
    <w:rsid w:val="00D92EC3"/>
    <w:rsid w:val="00D932B2"/>
    <w:rsid w:val="00DA45BF"/>
    <w:rsid w:val="00DA5A0B"/>
    <w:rsid w:val="00DB2C41"/>
    <w:rsid w:val="00DC0704"/>
    <w:rsid w:val="00DC2CDE"/>
    <w:rsid w:val="00DC3974"/>
    <w:rsid w:val="00DD2CEE"/>
    <w:rsid w:val="00DD4D29"/>
    <w:rsid w:val="00DE0531"/>
    <w:rsid w:val="00DE236E"/>
    <w:rsid w:val="00DF57B5"/>
    <w:rsid w:val="00DF6F39"/>
    <w:rsid w:val="00E15D6F"/>
    <w:rsid w:val="00E16612"/>
    <w:rsid w:val="00E16616"/>
    <w:rsid w:val="00E17EC2"/>
    <w:rsid w:val="00E239F8"/>
    <w:rsid w:val="00E26D3A"/>
    <w:rsid w:val="00E312E6"/>
    <w:rsid w:val="00E35204"/>
    <w:rsid w:val="00E40514"/>
    <w:rsid w:val="00E44068"/>
    <w:rsid w:val="00E4421F"/>
    <w:rsid w:val="00E56A9D"/>
    <w:rsid w:val="00E5767D"/>
    <w:rsid w:val="00E679F1"/>
    <w:rsid w:val="00E67C89"/>
    <w:rsid w:val="00E72AE5"/>
    <w:rsid w:val="00E828A3"/>
    <w:rsid w:val="00E8345A"/>
    <w:rsid w:val="00E900BF"/>
    <w:rsid w:val="00E900F5"/>
    <w:rsid w:val="00EA63AD"/>
    <w:rsid w:val="00EB1812"/>
    <w:rsid w:val="00EB51D5"/>
    <w:rsid w:val="00EC1E22"/>
    <w:rsid w:val="00EC33D0"/>
    <w:rsid w:val="00EC7A32"/>
    <w:rsid w:val="00ED24F6"/>
    <w:rsid w:val="00ED2BBA"/>
    <w:rsid w:val="00ED7796"/>
    <w:rsid w:val="00EE04C8"/>
    <w:rsid w:val="00EE2614"/>
    <w:rsid w:val="00EE4C3F"/>
    <w:rsid w:val="00EF26B5"/>
    <w:rsid w:val="00EF47E4"/>
    <w:rsid w:val="00EF763F"/>
    <w:rsid w:val="00F00057"/>
    <w:rsid w:val="00F00EAE"/>
    <w:rsid w:val="00F112CC"/>
    <w:rsid w:val="00F11737"/>
    <w:rsid w:val="00F14D0D"/>
    <w:rsid w:val="00F17F3A"/>
    <w:rsid w:val="00F201FD"/>
    <w:rsid w:val="00F243F0"/>
    <w:rsid w:val="00F268BB"/>
    <w:rsid w:val="00F30F6F"/>
    <w:rsid w:val="00F31948"/>
    <w:rsid w:val="00F32C2E"/>
    <w:rsid w:val="00F53C99"/>
    <w:rsid w:val="00F57D55"/>
    <w:rsid w:val="00F655CE"/>
    <w:rsid w:val="00F91A48"/>
    <w:rsid w:val="00F9514E"/>
    <w:rsid w:val="00FA2F4B"/>
    <w:rsid w:val="00FA4851"/>
    <w:rsid w:val="00FB60D8"/>
    <w:rsid w:val="00FB6D31"/>
    <w:rsid w:val="00FC0833"/>
    <w:rsid w:val="00FC19CE"/>
    <w:rsid w:val="00FD151B"/>
    <w:rsid w:val="00FD31BA"/>
    <w:rsid w:val="00FF3612"/>
    <w:rsid w:val="00FF53F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FD522"/>
  <w15:docId w15:val="{D70608F1-08EC-4378-BD90-D45CB2C08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C3974"/>
    <w:rPr>
      <w:rFonts w:eastAsiaTheme="minorEastAsia"/>
      <w:lang w:eastAsia="bg-BG"/>
    </w:rPr>
  </w:style>
  <w:style w:type="paragraph" w:styleId="1">
    <w:name w:val="heading 1"/>
    <w:basedOn w:val="a0"/>
    <w:next w:val="a0"/>
    <w:link w:val="10"/>
    <w:uiPriority w:val="9"/>
    <w:qFormat/>
    <w:rsid w:val="006336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0"/>
    <w:next w:val="a0"/>
    <w:link w:val="21"/>
    <w:uiPriority w:val="9"/>
    <w:unhideWhenUsed/>
    <w:qFormat/>
    <w:rsid w:val="0063364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63364A"/>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0"/>
    <w:next w:val="a0"/>
    <w:link w:val="50"/>
    <w:uiPriority w:val="9"/>
    <w:unhideWhenUsed/>
    <w:qFormat/>
    <w:rsid w:val="0063364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63364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63364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63364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DC3974"/>
    <w:pPr>
      <w:spacing w:after="0" w:line="240" w:lineRule="auto"/>
    </w:pPr>
    <w:rPr>
      <w:rFonts w:eastAsiaTheme="minorEastAsia"/>
      <w:lang w:eastAsia="bg-BG"/>
    </w:rPr>
  </w:style>
  <w:style w:type="paragraph" w:styleId="a5">
    <w:name w:val="Title"/>
    <w:basedOn w:val="a0"/>
    <w:link w:val="a6"/>
    <w:qFormat/>
    <w:rsid w:val="00DC3974"/>
    <w:pPr>
      <w:spacing w:after="0" w:line="240" w:lineRule="auto"/>
      <w:jc w:val="center"/>
    </w:pPr>
    <w:rPr>
      <w:rFonts w:ascii="Times New Roman" w:eastAsia="Times New Roman" w:hAnsi="Times New Roman" w:cs="Times New Roman"/>
      <w:sz w:val="28"/>
      <w:szCs w:val="20"/>
    </w:rPr>
  </w:style>
  <w:style w:type="character" w:customStyle="1" w:styleId="a6">
    <w:name w:val="Заглавие Знак"/>
    <w:basedOn w:val="a1"/>
    <w:link w:val="a5"/>
    <w:rsid w:val="00DC3974"/>
    <w:rPr>
      <w:rFonts w:ascii="Times New Roman" w:eastAsia="Times New Roman" w:hAnsi="Times New Roman" w:cs="Times New Roman"/>
      <w:sz w:val="28"/>
      <w:szCs w:val="20"/>
      <w:lang w:eastAsia="bg-BG"/>
    </w:rPr>
  </w:style>
  <w:style w:type="paragraph" w:styleId="a7">
    <w:name w:val="Balloon Text"/>
    <w:basedOn w:val="a0"/>
    <w:link w:val="a8"/>
    <w:uiPriority w:val="99"/>
    <w:semiHidden/>
    <w:unhideWhenUsed/>
    <w:rsid w:val="0017768D"/>
    <w:pPr>
      <w:spacing w:after="0" w:line="240" w:lineRule="auto"/>
    </w:pPr>
    <w:rPr>
      <w:rFonts w:ascii="Tahoma" w:hAnsi="Tahoma" w:cs="Tahoma"/>
      <w:sz w:val="16"/>
      <w:szCs w:val="16"/>
    </w:rPr>
  </w:style>
  <w:style w:type="character" w:customStyle="1" w:styleId="a8">
    <w:name w:val="Изнесен текст Знак"/>
    <w:basedOn w:val="a1"/>
    <w:link w:val="a7"/>
    <w:uiPriority w:val="99"/>
    <w:semiHidden/>
    <w:rsid w:val="0017768D"/>
    <w:rPr>
      <w:rFonts w:ascii="Tahoma" w:eastAsiaTheme="minorEastAsia" w:hAnsi="Tahoma" w:cs="Tahoma"/>
      <w:sz w:val="16"/>
      <w:szCs w:val="16"/>
      <w:lang w:eastAsia="bg-BG"/>
    </w:rPr>
  </w:style>
  <w:style w:type="character" w:customStyle="1" w:styleId="a9">
    <w:name w:val="Основен текст_"/>
    <w:basedOn w:val="a1"/>
    <w:link w:val="11"/>
    <w:locked/>
    <w:rsid w:val="0017768D"/>
    <w:rPr>
      <w:rFonts w:ascii="Cambria" w:eastAsia="Cambria" w:hAnsi="Cambria" w:cs="Cambria"/>
      <w:sz w:val="28"/>
      <w:szCs w:val="28"/>
      <w:shd w:val="clear" w:color="auto" w:fill="FFFFFF"/>
    </w:rPr>
  </w:style>
  <w:style w:type="paragraph" w:customStyle="1" w:styleId="11">
    <w:name w:val="Основен текст1"/>
    <w:basedOn w:val="a0"/>
    <w:link w:val="a9"/>
    <w:rsid w:val="0017768D"/>
    <w:pPr>
      <w:widowControl w:val="0"/>
      <w:shd w:val="clear" w:color="auto" w:fill="FFFFFF"/>
      <w:spacing w:after="0" w:line="240" w:lineRule="auto"/>
      <w:ind w:firstLine="400"/>
    </w:pPr>
    <w:rPr>
      <w:rFonts w:ascii="Cambria" w:eastAsia="Cambria" w:hAnsi="Cambria" w:cs="Cambria"/>
      <w:sz w:val="28"/>
      <w:szCs w:val="28"/>
      <w:lang w:eastAsia="en-US"/>
    </w:rPr>
  </w:style>
  <w:style w:type="paragraph" w:styleId="aa">
    <w:name w:val="List Paragraph"/>
    <w:basedOn w:val="a0"/>
    <w:uiPriority w:val="34"/>
    <w:qFormat/>
    <w:rsid w:val="00394E2A"/>
    <w:pPr>
      <w:ind w:left="720"/>
      <w:contextualSpacing/>
    </w:pPr>
  </w:style>
  <w:style w:type="table" w:styleId="ab">
    <w:name w:val="Table Grid"/>
    <w:basedOn w:val="a2"/>
    <w:uiPriority w:val="59"/>
    <w:rsid w:val="00394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лавие 1 Знак"/>
    <w:basedOn w:val="a1"/>
    <w:link w:val="1"/>
    <w:uiPriority w:val="9"/>
    <w:rsid w:val="0063364A"/>
    <w:rPr>
      <w:rFonts w:asciiTheme="majorHAnsi" w:eastAsiaTheme="majorEastAsia" w:hAnsiTheme="majorHAnsi" w:cstheme="majorBidi"/>
      <w:b/>
      <w:bCs/>
      <w:color w:val="365F91" w:themeColor="accent1" w:themeShade="BF"/>
      <w:sz w:val="28"/>
      <w:szCs w:val="28"/>
      <w:lang w:eastAsia="bg-BG"/>
    </w:rPr>
  </w:style>
  <w:style w:type="character" w:customStyle="1" w:styleId="21">
    <w:name w:val="Заглавие 2 Знак"/>
    <w:basedOn w:val="a1"/>
    <w:link w:val="20"/>
    <w:uiPriority w:val="9"/>
    <w:rsid w:val="0063364A"/>
    <w:rPr>
      <w:rFonts w:asciiTheme="majorHAnsi" w:eastAsiaTheme="majorEastAsia" w:hAnsiTheme="majorHAnsi" w:cstheme="majorBidi"/>
      <w:b/>
      <w:bCs/>
      <w:color w:val="4F81BD" w:themeColor="accent1"/>
      <w:sz w:val="26"/>
      <w:szCs w:val="26"/>
      <w:lang w:eastAsia="bg-BG"/>
    </w:rPr>
  </w:style>
  <w:style w:type="character" w:customStyle="1" w:styleId="30">
    <w:name w:val="Заглавие 3 Знак"/>
    <w:basedOn w:val="a1"/>
    <w:link w:val="3"/>
    <w:uiPriority w:val="9"/>
    <w:rsid w:val="0063364A"/>
    <w:rPr>
      <w:rFonts w:asciiTheme="majorHAnsi" w:eastAsiaTheme="majorEastAsia" w:hAnsiTheme="majorHAnsi" w:cstheme="majorBidi"/>
      <w:b/>
      <w:bCs/>
      <w:color w:val="4F81BD" w:themeColor="accent1"/>
      <w:lang w:eastAsia="bg-BG"/>
    </w:rPr>
  </w:style>
  <w:style w:type="character" w:customStyle="1" w:styleId="50">
    <w:name w:val="Заглавие 5 Знак"/>
    <w:basedOn w:val="a1"/>
    <w:link w:val="5"/>
    <w:uiPriority w:val="9"/>
    <w:rsid w:val="0063364A"/>
    <w:rPr>
      <w:rFonts w:asciiTheme="majorHAnsi" w:eastAsiaTheme="majorEastAsia" w:hAnsiTheme="majorHAnsi" w:cstheme="majorBidi"/>
      <w:color w:val="243F60" w:themeColor="accent1" w:themeShade="7F"/>
      <w:lang w:eastAsia="bg-BG"/>
    </w:rPr>
  </w:style>
  <w:style w:type="character" w:customStyle="1" w:styleId="60">
    <w:name w:val="Заглавие 6 Знак"/>
    <w:basedOn w:val="a1"/>
    <w:link w:val="6"/>
    <w:uiPriority w:val="9"/>
    <w:rsid w:val="0063364A"/>
    <w:rPr>
      <w:rFonts w:asciiTheme="majorHAnsi" w:eastAsiaTheme="majorEastAsia" w:hAnsiTheme="majorHAnsi" w:cstheme="majorBidi"/>
      <w:i/>
      <w:iCs/>
      <w:color w:val="243F60" w:themeColor="accent1" w:themeShade="7F"/>
      <w:lang w:eastAsia="bg-BG"/>
    </w:rPr>
  </w:style>
  <w:style w:type="character" w:customStyle="1" w:styleId="70">
    <w:name w:val="Заглавие 7 Знак"/>
    <w:basedOn w:val="a1"/>
    <w:link w:val="7"/>
    <w:uiPriority w:val="9"/>
    <w:rsid w:val="0063364A"/>
    <w:rPr>
      <w:rFonts w:asciiTheme="majorHAnsi" w:eastAsiaTheme="majorEastAsia" w:hAnsiTheme="majorHAnsi" w:cstheme="majorBidi"/>
      <w:i/>
      <w:iCs/>
      <w:color w:val="404040" w:themeColor="text1" w:themeTint="BF"/>
      <w:lang w:eastAsia="bg-BG"/>
    </w:rPr>
  </w:style>
  <w:style w:type="character" w:customStyle="1" w:styleId="80">
    <w:name w:val="Заглавие 8 Знак"/>
    <w:basedOn w:val="a1"/>
    <w:link w:val="8"/>
    <w:uiPriority w:val="9"/>
    <w:rsid w:val="0063364A"/>
    <w:rPr>
      <w:rFonts w:asciiTheme="majorHAnsi" w:eastAsiaTheme="majorEastAsia" w:hAnsiTheme="majorHAnsi" w:cstheme="majorBidi"/>
      <w:color w:val="404040" w:themeColor="text1" w:themeTint="BF"/>
      <w:sz w:val="20"/>
      <w:szCs w:val="20"/>
      <w:lang w:eastAsia="bg-BG"/>
    </w:rPr>
  </w:style>
  <w:style w:type="paragraph" w:customStyle="1" w:styleId="Style2">
    <w:name w:val="Style2"/>
    <w:basedOn w:val="a0"/>
    <w:uiPriority w:val="99"/>
    <w:rsid w:val="0063364A"/>
    <w:pPr>
      <w:widowControl w:val="0"/>
      <w:autoSpaceDE w:val="0"/>
      <w:autoSpaceDN w:val="0"/>
      <w:adjustRightInd w:val="0"/>
      <w:spacing w:after="0" w:line="240" w:lineRule="auto"/>
    </w:pPr>
    <w:rPr>
      <w:rFonts w:ascii="Garamond" w:hAnsi="Garamond" w:cs="Times New Roman"/>
      <w:sz w:val="24"/>
      <w:szCs w:val="24"/>
    </w:rPr>
  </w:style>
  <w:style w:type="character" w:customStyle="1" w:styleId="FontStyle12">
    <w:name w:val="Font Style12"/>
    <w:basedOn w:val="a1"/>
    <w:uiPriority w:val="99"/>
    <w:rsid w:val="0063364A"/>
    <w:rPr>
      <w:rFonts w:ascii="Cambria" w:hAnsi="Cambria" w:cs="Cambria"/>
      <w:b/>
      <w:bCs/>
      <w:sz w:val="26"/>
      <w:szCs w:val="26"/>
    </w:rPr>
  </w:style>
  <w:style w:type="character" w:customStyle="1" w:styleId="FontStyle13">
    <w:name w:val="Font Style13"/>
    <w:basedOn w:val="a1"/>
    <w:uiPriority w:val="99"/>
    <w:rsid w:val="0063364A"/>
    <w:rPr>
      <w:rFonts w:ascii="Cambria" w:hAnsi="Cambria" w:cs="Cambria"/>
      <w:sz w:val="28"/>
      <w:szCs w:val="28"/>
    </w:rPr>
  </w:style>
  <w:style w:type="paragraph" w:styleId="ac">
    <w:name w:val="header"/>
    <w:basedOn w:val="a0"/>
    <w:link w:val="ad"/>
    <w:uiPriority w:val="99"/>
    <w:unhideWhenUsed/>
    <w:rsid w:val="0063364A"/>
    <w:pPr>
      <w:tabs>
        <w:tab w:val="center" w:pos="4536"/>
        <w:tab w:val="right" w:pos="9072"/>
      </w:tabs>
      <w:spacing w:after="0" w:line="240" w:lineRule="auto"/>
    </w:pPr>
  </w:style>
  <w:style w:type="character" w:customStyle="1" w:styleId="ad">
    <w:name w:val="Горен колонтитул Знак"/>
    <w:basedOn w:val="a1"/>
    <w:link w:val="ac"/>
    <w:uiPriority w:val="99"/>
    <w:rsid w:val="0063364A"/>
    <w:rPr>
      <w:rFonts w:eastAsiaTheme="minorEastAsia"/>
      <w:lang w:eastAsia="bg-BG"/>
    </w:rPr>
  </w:style>
  <w:style w:type="paragraph" w:styleId="ae">
    <w:name w:val="footer"/>
    <w:basedOn w:val="a0"/>
    <w:link w:val="af"/>
    <w:uiPriority w:val="99"/>
    <w:unhideWhenUsed/>
    <w:rsid w:val="0063364A"/>
    <w:pPr>
      <w:tabs>
        <w:tab w:val="center" w:pos="4536"/>
        <w:tab w:val="right" w:pos="9072"/>
      </w:tabs>
      <w:spacing w:after="0" w:line="240" w:lineRule="auto"/>
    </w:pPr>
  </w:style>
  <w:style w:type="character" w:customStyle="1" w:styleId="af">
    <w:name w:val="Долен колонтитул Знак"/>
    <w:basedOn w:val="a1"/>
    <w:link w:val="ae"/>
    <w:uiPriority w:val="99"/>
    <w:rsid w:val="0063364A"/>
    <w:rPr>
      <w:rFonts w:eastAsiaTheme="minorEastAsia"/>
      <w:lang w:eastAsia="bg-BG"/>
    </w:rPr>
  </w:style>
  <w:style w:type="paragraph" w:styleId="af0">
    <w:name w:val="List"/>
    <w:basedOn w:val="a0"/>
    <w:uiPriority w:val="99"/>
    <w:unhideWhenUsed/>
    <w:rsid w:val="0063364A"/>
    <w:pPr>
      <w:ind w:left="283" w:hanging="283"/>
      <w:contextualSpacing/>
    </w:pPr>
  </w:style>
  <w:style w:type="paragraph" w:styleId="22">
    <w:name w:val="List 2"/>
    <w:basedOn w:val="a0"/>
    <w:uiPriority w:val="99"/>
    <w:unhideWhenUsed/>
    <w:rsid w:val="0063364A"/>
    <w:pPr>
      <w:ind w:left="566" w:hanging="283"/>
      <w:contextualSpacing/>
    </w:pPr>
  </w:style>
  <w:style w:type="paragraph" w:styleId="31">
    <w:name w:val="List 3"/>
    <w:basedOn w:val="a0"/>
    <w:uiPriority w:val="99"/>
    <w:unhideWhenUsed/>
    <w:rsid w:val="0063364A"/>
    <w:pPr>
      <w:ind w:left="849" w:hanging="283"/>
      <w:contextualSpacing/>
    </w:pPr>
  </w:style>
  <w:style w:type="paragraph" w:styleId="4">
    <w:name w:val="List 4"/>
    <w:basedOn w:val="a0"/>
    <w:uiPriority w:val="99"/>
    <w:unhideWhenUsed/>
    <w:rsid w:val="0063364A"/>
    <w:pPr>
      <w:ind w:left="1132" w:hanging="283"/>
      <w:contextualSpacing/>
    </w:pPr>
  </w:style>
  <w:style w:type="paragraph" w:styleId="a">
    <w:name w:val="List Bullet"/>
    <w:basedOn w:val="a0"/>
    <w:uiPriority w:val="99"/>
    <w:unhideWhenUsed/>
    <w:rsid w:val="0063364A"/>
    <w:pPr>
      <w:numPr>
        <w:numId w:val="13"/>
      </w:numPr>
      <w:contextualSpacing/>
    </w:pPr>
  </w:style>
  <w:style w:type="paragraph" w:styleId="2">
    <w:name w:val="List Bullet 2"/>
    <w:basedOn w:val="a0"/>
    <w:uiPriority w:val="99"/>
    <w:unhideWhenUsed/>
    <w:rsid w:val="0063364A"/>
    <w:pPr>
      <w:numPr>
        <w:numId w:val="14"/>
      </w:numPr>
      <w:contextualSpacing/>
    </w:pPr>
  </w:style>
  <w:style w:type="paragraph" w:styleId="32">
    <w:name w:val="List Continue 3"/>
    <w:basedOn w:val="a0"/>
    <w:uiPriority w:val="99"/>
    <w:unhideWhenUsed/>
    <w:rsid w:val="0063364A"/>
    <w:pPr>
      <w:spacing w:after="120"/>
      <w:ind w:left="849"/>
      <w:contextualSpacing/>
    </w:pPr>
  </w:style>
  <w:style w:type="paragraph" w:styleId="40">
    <w:name w:val="List Continue 4"/>
    <w:basedOn w:val="a0"/>
    <w:uiPriority w:val="99"/>
    <w:unhideWhenUsed/>
    <w:rsid w:val="0063364A"/>
    <w:pPr>
      <w:spacing w:after="120"/>
      <w:ind w:left="1132"/>
      <w:contextualSpacing/>
    </w:pPr>
  </w:style>
  <w:style w:type="paragraph" w:styleId="af1">
    <w:name w:val="Body Text"/>
    <w:basedOn w:val="a0"/>
    <w:link w:val="af2"/>
    <w:uiPriority w:val="99"/>
    <w:unhideWhenUsed/>
    <w:rsid w:val="0063364A"/>
    <w:pPr>
      <w:spacing w:after="120"/>
    </w:pPr>
  </w:style>
  <w:style w:type="character" w:customStyle="1" w:styleId="af2">
    <w:name w:val="Основен текст Знак"/>
    <w:basedOn w:val="a1"/>
    <w:link w:val="af1"/>
    <w:uiPriority w:val="99"/>
    <w:rsid w:val="0063364A"/>
    <w:rPr>
      <w:rFonts w:eastAsiaTheme="minorEastAsia"/>
      <w:lang w:eastAsia="bg-BG"/>
    </w:rPr>
  </w:style>
  <w:style w:type="paragraph" w:styleId="af3">
    <w:name w:val="Body Text Indent"/>
    <w:basedOn w:val="a0"/>
    <w:link w:val="af4"/>
    <w:uiPriority w:val="99"/>
    <w:unhideWhenUsed/>
    <w:rsid w:val="0063364A"/>
    <w:pPr>
      <w:spacing w:after="120"/>
      <w:ind w:left="283"/>
    </w:pPr>
  </w:style>
  <w:style w:type="character" w:customStyle="1" w:styleId="af4">
    <w:name w:val="Основен текст с отстъп Знак"/>
    <w:basedOn w:val="a1"/>
    <w:link w:val="af3"/>
    <w:uiPriority w:val="99"/>
    <w:rsid w:val="0063364A"/>
    <w:rPr>
      <w:rFonts w:eastAsiaTheme="minorEastAsia"/>
      <w:lang w:eastAsia="bg-BG"/>
    </w:rPr>
  </w:style>
  <w:style w:type="paragraph" w:styleId="af5">
    <w:name w:val="Normal Indent"/>
    <w:basedOn w:val="a0"/>
    <w:uiPriority w:val="99"/>
    <w:unhideWhenUsed/>
    <w:rsid w:val="0063364A"/>
    <w:pPr>
      <w:ind w:left="708"/>
    </w:pPr>
  </w:style>
  <w:style w:type="paragraph" w:styleId="af6">
    <w:name w:val="Body Text First Indent"/>
    <w:basedOn w:val="af1"/>
    <w:link w:val="af7"/>
    <w:uiPriority w:val="99"/>
    <w:unhideWhenUsed/>
    <w:rsid w:val="0063364A"/>
    <w:pPr>
      <w:spacing w:after="200"/>
      <w:ind w:firstLine="360"/>
    </w:pPr>
  </w:style>
  <w:style w:type="character" w:customStyle="1" w:styleId="af7">
    <w:name w:val="Основен текст отстъп първи ред Знак"/>
    <w:basedOn w:val="af2"/>
    <w:link w:val="af6"/>
    <w:uiPriority w:val="99"/>
    <w:rsid w:val="0063364A"/>
    <w:rPr>
      <w:rFonts w:eastAsiaTheme="minorEastAsia"/>
      <w:lang w:eastAsia="bg-BG"/>
    </w:rPr>
  </w:style>
  <w:style w:type="paragraph" w:styleId="23">
    <w:name w:val="Body Text First Indent 2"/>
    <w:basedOn w:val="af3"/>
    <w:link w:val="24"/>
    <w:uiPriority w:val="99"/>
    <w:unhideWhenUsed/>
    <w:rsid w:val="0063364A"/>
    <w:pPr>
      <w:spacing w:after="200"/>
      <w:ind w:left="360" w:firstLine="360"/>
    </w:pPr>
  </w:style>
  <w:style w:type="character" w:customStyle="1" w:styleId="24">
    <w:name w:val="Основен текст отстъп първи ред 2 Знак"/>
    <w:basedOn w:val="af4"/>
    <w:link w:val="23"/>
    <w:uiPriority w:val="99"/>
    <w:rsid w:val="0063364A"/>
    <w:rPr>
      <w:rFonts w:eastAsiaTheme="minorEastAsia"/>
      <w:lang w:eastAsia="bg-BG"/>
    </w:rPr>
  </w:style>
  <w:style w:type="character" w:customStyle="1" w:styleId="25">
    <w:name w:val="Основен текст (2)_"/>
    <w:link w:val="26"/>
    <w:uiPriority w:val="99"/>
    <w:locked/>
    <w:rsid w:val="0063364A"/>
    <w:rPr>
      <w:rFonts w:ascii="Times New Roman" w:hAnsi="Times New Roman" w:cs="Times New Roman"/>
      <w:sz w:val="28"/>
      <w:szCs w:val="28"/>
      <w:shd w:val="clear" w:color="auto" w:fill="FFFFFF"/>
    </w:rPr>
  </w:style>
  <w:style w:type="paragraph" w:customStyle="1" w:styleId="26">
    <w:name w:val="Основен текст (2)"/>
    <w:basedOn w:val="a0"/>
    <w:link w:val="25"/>
    <w:uiPriority w:val="99"/>
    <w:rsid w:val="0063364A"/>
    <w:pPr>
      <w:widowControl w:val="0"/>
      <w:shd w:val="clear" w:color="auto" w:fill="FFFFFF"/>
      <w:spacing w:before="720" w:after="300" w:line="322" w:lineRule="exact"/>
      <w:ind w:hanging="760"/>
      <w:jc w:val="both"/>
    </w:pPr>
    <w:rPr>
      <w:rFonts w:ascii="Times New Roman" w:eastAsiaTheme="minorHAnsi" w:hAnsi="Times New Roman" w:cs="Times New Roman"/>
      <w:sz w:val="28"/>
      <w:szCs w:val="28"/>
      <w:lang w:eastAsia="en-US"/>
    </w:rPr>
  </w:style>
  <w:style w:type="character" w:customStyle="1" w:styleId="af8">
    <w:name w:val="Заглавие на таблица_"/>
    <w:basedOn w:val="a1"/>
    <w:link w:val="af9"/>
    <w:rsid w:val="0063364A"/>
    <w:rPr>
      <w:rFonts w:ascii="Arial" w:eastAsia="Arial" w:hAnsi="Arial" w:cs="Arial"/>
      <w:b/>
      <w:bCs/>
      <w:sz w:val="17"/>
      <w:szCs w:val="17"/>
    </w:rPr>
  </w:style>
  <w:style w:type="character" w:customStyle="1" w:styleId="afa">
    <w:name w:val="Други_"/>
    <w:basedOn w:val="a1"/>
    <w:link w:val="afb"/>
    <w:rsid w:val="0063364A"/>
    <w:rPr>
      <w:rFonts w:ascii="Times New Roman" w:eastAsia="Times New Roman" w:hAnsi="Times New Roman" w:cs="Times New Roman"/>
    </w:rPr>
  </w:style>
  <w:style w:type="paragraph" w:customStyle="1" w:styleId="af9">
    <w:name w:val="Заглавие на таблица"/>
    <w:basedOn w:val="a0"/>
    <w:link w:val="af8"/>
    <w:rsid w:val="0063364A"/>
    <w:pPr>
      <w:widowControl w:val="0"/>
      <w:spacing w:after="0" w:line="240" w:lineRule="auto"/>
    </w:pPr>
    <w:rPr>
      <w:rFonts w:ascii="Arial" w:eastAsia="Arial" w:hAnsi="Arial" w:cs="Arial"/>
      <w:b/>
      <w:bCs/>
      <w:sz w:val="17"/>
      <w:szCs w:val="17"/>
      <w:lang w:eastAsia="en-US"/>
    </w:rPr>
  </w:style>
  <w:style w:type="paragraph" w:customStyle="1" w:styleId="afb">
    <w:name w:val="Други"/>
    <w:basedOn w:val="a0"/>
    <w:link w:val="afa"/>
    <w:rsid w:val="0063364A"/>
    <w:pPr>
      <w:widowControl w:val="0"/>
      <w:spacing w:after="0" w:line="240" w:lineRule="auto"/>
      <w:ind w:firstLine="400"/>
    </w:pPr>
    <w:rPr>
      <w:rFonts w:ascii="Times New Roman" w:eastAsia="Times New Roman" w:hAnsi="Times New Roman" w:cs="Times New Roman"/>
      <w:lang w:eastAsia="en-US"/>
    </w:rPr>
  </w:style>
  <w:style w:type="paragraph" w:styleId="afc">
    <w:name w:val="Normal (Web)"/>
    <w:basedOn w:val="a0"/>
    <w:uiPriority w:val="99"/>
    <w:unhideWhenUsed/>
    <w:rsid w:val="0063364A"/>
    <w:pPr>
      <w:spacing w:before="100" w:beforeAutospacing="1" w:after="100" w:afterAutospacing="1" w:line="240" w:lineRule="auto"/>
    </w:pPr>
    <w:rPr>
      <w:rFonts w:ascii="Times New Roman" w:hAnsi="Times New Roman" w:cs="Times New Roman"/>
      <w:sz w:val="24"/>
      <w:szCs w:val="24"/>
    </w:rPr>
  </w:style>
  <w:style w:type="character" w:customStyle="1" w:styleId="33">
    <w:name w:val="Заглавие #3_"/>
    <w:basedOn w:val="a1"/>
    <w:link w:val="34"/>
    <w:locked/>
    <w:rsid w:val="0063364A"/>
    <w:rPr>
      <w:rFonts w:ascii="Times New Roman" w:eastAsia="Times New Roman" w:hAnsi="Times New Roman" w:cs="Times New Roman"/>
      <w:b/>
      <w:bCs/>
      <w:shd w:val="clear" w:color="auto" w:fill="FFFFFF"/>
    </w:rPr>
  </w:style>
  <w:style w:type="paragraph" w:customStyle="1" w:styleId="34">
    <w:name w:val="Заглавие #3"/>
    <w:basedOn w:val="a0"/>
    <w:link w:val="33"/>
    <w:rsid w:val="0063364A"/>
    <w:pPr>
      <w:widowControl w:val="0"/>
      <w:shd w:val="clear" w:color="auto" w:fill="FFFFFF"/>
      <w:spacing w:after="0" w:line="240" w:lineRule="auto"/>
      <w:ind w:firstLine="840"/>
      <w:outlineLvl w:val="2"/>
    </w:pPr>
    <w:rPr>
      <w:rFonts w:ascii="Times New Roman" w:eastAsia="Times New Roman" w:hAnsi="Times New Roman" w:cs="Times New Roman"/>
      <w:b/>
      <w:bCs/>
      <w:lang w:eastAsia="en-US"/>
    </w:rPr>
  </w:style>
  <w:style w:type="table" w:customStyle="1" w:styleId="12">
    <w:name w:val="Мрежа в таблица1"/>
    <w:basedOn w:val="a2"/>
    <w:next w:val="ab"/>
    <w:uiPriority w:val="59"/>
    <w:rsid w:val="0074721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0494">
      <w:bodyDiv w:val="1"/>
      <w:marLeft w:val="0"/>
      <w:marRight w:val="0"/>
      <w:marTop w:val="0"/>
      <w:marBottom w:val="0"/>
      <w:divBdr>
        <w:top w:val="none" w:sz="0" w:space="0" w:color="auto"/>
        <w:left w:val="none" w:sz="0" w:space="0" w:color="auto"/>
        <w:bottom w:val="none" w:sz="0" w:space="0" w:color="auto"/>
        <w:right w:val="none" w:sz="0" w:space="0" w:color="auto"/>
      </w:divBdr>
    </w:div>
    <w:div w:id="41711055">
      <w:bodyDiv w:val="1"/>
      <w:marLeft w:val="0"/>
      <w:marRight w:val="0"/>
      <w:marTop w:val="0"/>
      <w:marBottom w:val="0"/>
      <w:divBdr>
        <w:top w:val="none" w:sz="0" w:space="0" w:color="auto"/>
        <w:left w:val="none" w:sz="0" w:space="0" w:color="auto"/>
        <w:bottom w:val="none" w:sz="0" w:space="0" w:color="auto"/>
        <w:right w:val="none" w:sz="0" w:space="0" w:color="auto"/>
      </w:divBdr>
    </w:div>
    <w:div w:id="47414965">
      <w:bodyDiv w:val="1"/>
      <w:marLeft w:val="0"/>
      <w:marRight w:val="0"/>
      <w:marTop w:val="0"/>
      <w:marBottom w:val="0"/>
      <w:divBdr>
        <w:top w:val="none" w:sz="0" w:space="0" w:color="auto"/>
        <w:left w:val="none" w:sz="0" w:space="0" w:color="auto"/>
        <w:bottom w:val="none" w:sz="0" w:space="0" w:color="auto"/>
        <w:right w:val="none" w:sz="0" w:space="0" w:color="auto"/>
      </w:divBdr>
    </w:div>
    <w:div w:id="57676434">
      <w:bodyDiv w:val="1"/>
      <w:marLeft w:val="0"/>
      <w:marRight w:val="0"/>
      <w:marTop w:val="0"/>
      <w:marBottom w:val="0"/>
      <w:divBdr>
        <w:top w:val="none" w:sz="0" w:space="0" w:color="auto"/>
        <w:left w:val="none" w:sz="0" w:space="0" w:color="auto"/>
        <w:bottom w:val="none" w:sz="0" w:space="0" w:color="auto"/>
        <w:right w:val="none" w:sz="0" w:space="0" w:color="auto"/>
      </w:divBdr>
    </w:div>
    <w:div w:id="71127941">
      <w:bodyDiv w:val="1"/>
      <w:marLeft w:val="0"/>
      <w:marRight w:val="0"/>
      <w:marTop w:val="0"/>
      <w:marBottom w:val="0"/>
      <w:divBdr>
        <w:top w:val="none" w:sz="0" w:space="0" w:color="auto"/>
        <w:left w:val="none" w:sz="0" w:space="0" w:color="auto"/>
        <w:bottom w:val="none" w:sz="0" w:space="0" w:color="auto"/>
        <w:right w:val="none" w:sz="0" w:space="0" w:color="auto"/>
      </w:divBdr>
    </w:div>
    <w:div w:id="91124041">
      <w:bodyDiv w:val="1"/>
      <w:marLeft w:val="0"/>
      <w:marRight w:val="0"/>
      <w:marTop w:val="0"/>
      <w:marBottom w:val="0"/>
      <w:divBdr>
        <w:top w:val="none" w:sz="0" w:space="0" w:color="auto"/>
        <w:left w:val="none" w:sz="0" w:space="0" w:color="auto"/>
        <w:bottom w:val="none" w:sz="0" w:space="0" w:color="auto"/>
        <w:right w:val="none" w:sz="0" w:space="0" w:color="auto"/>
      </w:divBdr>
    </w:div>
    <w:div w:id="125242280">
      <w:bodyDiv w:val="1"/>
      <w:marLeft w:val="0"/>
      <w:marRight w:val="0"/>
      <w:marTop w:val="0"/>
      <w:marBottom w:val="0"/>
      <w:divBdr>
        <w:top w:val="none" w:sz="0" w:space="0" w:color="auto"/>
        <w:left w:val="none" w:sz="0" w:space="0" w:color="auto"/>
        <w:bottom w:val="none" w:sz="0" w:space="0" w:color="auto"/>
        <w:right w:val="none" w:sz="0" w:space="0" w:color="auto"/>
      </w:divBdr>
    </w:div>
    <w:div w:id="151531380">
      <w:bodyDiv w:val="1"/>
      <w:marLeft w:val="0"/>
      <w:marRight w:val="0"/>
      <w:marTop w:val="0"/>
      <w:marBottom w:val="0"/>
      <w:divBdr>
        <w:top w:val="none" w:sz="0" w:space="0" w:color="auto"/>
        <w:left w:val="none" w:sz="0" w:space="0" w:color="auto"/>
        <w:bottom w:val="none" w:sz="0" w:space="0" w:color="auto"/>
        <w:right w:val="none" w:sz="0" w:space="0" w:color="auto"/>
      </w:divBdr>
    </w:div>
    <w:div w:id="156579046">
      <w:bodyDiv w:val="1"/>
      <w:marLeft w:val="0"/>
      <w:marRight w:val="0"/>
      <w:marTop w:val="0"/>
      <w:marBottom w:val="0"/>
      <w:divBdr>
        <w:top w:val="none" w:sz="0" w:space="0" w:color="auto"/>
        <w:left w:val="none" w:sz="0" w:space="0" w:color="auto"/>
        <w:bottom w:val="none" w:sz="0" w:space="0" w:color="auto"/>
        <w:right w:val="none" w:sz="0" w:space="0" w:color="auto"/>
      </w:divBdr>
    </w:div>
    <w:div w:id="165680803">
      <w:bodyDiv w:val="1"/>
      <w:marLeft w:val="0"/>
      <w:marRight w:val="0"/>
      <w:marTop w:val="0"/>
      <w:marBottom w:val="0"/>
      <w:divBdr>
        <w:top w:val="none" w:sz="0" w:space="0" w:color="auto"/>
        <w:left w:val="none" w:sz="0" w:space="0" w:color="auto"/>
        <w:bottom w:val="none" w:sz="0" w:space="0" w:color="auto"/>
        <w:right w:val="none" w:sz="0" w:space="0" w:color="auto"/>
      </w:divBdr>
    </w:div>
    <w:div w:id="168066244">
      <w:bodyDiv w:val="1"/>
      <w:marLeft w:val="0"/>
      <w:marRight w:val="0"/>
      <w:marTop w:val="0"/>
      <w:marBottom w:val="0"/>
      <w:divBdr>
        <w:top w:val="none" w:sz="0" w:space="0" w:color="auto"/>
        <w:left w:val="none" w:sz="0" w:space="0" w:color="auto"/>
        <w:bottom w:val="none" w:sz="0" w:space="0" w:color="auto"/>
        <w:right w:val="none" w:sz="0" w:space="0" w:color="auto"/>
      </w:divBdr>
    </w:div>
    <w:div w:id="181821412">
      <w:bodyDiv w:val="1"/>
      <w:marLeft w:val="0"/>
      <w:marRight w:val="0"/>
      <w:marTop w:val="0"/>
      <w:marBottom w:val="0"/>
      <w:divBdr>
        <w:top w:val="none" w:sz="0" w:space="0" w:color="auto"/>
        <w:left w:val="none" w:sz="0" w:space="0" w:color="auto"/>
        <w:bottom w:val="none" w:sz="0" w:space="0" w:color="auto"/>
        <w:right w:val="none" w:sz="0" w:space="0" w:color="auto"/>
      </w:divBdr>
    </w:div>
    <w:div w:id="185872123">
      <w:bodyDiv w:val="1"/>
      <w:marLeft w:val="0"/>
      <w:marRight w:val="0"/>
      <w:marTop w:val="0"/>
      <w:marBottom w:val="0"/>
      <w:divBdr>
        <w:top w:val="none" w:sz="0" w:space="0" w:color="auto"/>
        <w:left w:val="none" w:sz="0" w:space="0" w:color="auto"/>
        <w:bottom w:val="none" w:sz="0" w:space="0" w:color="auto"/>
        <w:right w:val="none" w:sz="0" w:space="0" w:color="auto"/>
      </w:divBdr>
    </w:div>
    <w:div w:id="190187150">
      <w:bodyDiv w:val="1"/>
      <w:marLeft w:val="0"/>
      <w:marRight w:val="0"/>
      <w:marTop w:val="0"/>
      <w:marBottom w:val="0"/>
      <w:divBdr>
        <w:top w:val="none" w:sz="0" w:space="0" w:color="auto"/>
        <w:left w:val="none" w:sz="0" w:space="0" w:color="auto"/>
        <w:bottom w:val="none" w:sz="0" w:space="0" w:color="auto"/>
        <w:right w:val="none" w:sz="0" w:space="0" w:color="auto"/>
      </w:divBdr>
    </w:div>
    <w:div w:id="207303378">
      <w:bodyDiv w:val="1"/>
      <w:marLeft w:val="0"/>
      <w:marRight w:val="0"/>
      <w:marTop w:val="0"/>
      <w:marBottom w:val="0"/>
      <w:divBdr>
        <w:top w:val="none" w:sz="0" w:space="0" w:color="auto"/>
        <w:left w:val="none" w:sz="0" w:space="0" w:color="auto"/>
        <w:bottom w:val="none" w:sz="0" w:space="0" w:color="auto"/>
        <w:right w:val="none" w:sz="0" w:space="0" w:color="auto"/>
      </w:divBdr>
    </w:div>
    <w:div w:id="212695015">
      <w:bodyDiv w:val="1"/>
      <w:marLeft w:val="0"/>
      <w:marRight w:val="0"/>
      <w:marTop w:val="0"/>
      <w:marBottom w:val="0"/>
      <w:divBdr>
        <w:top w:val="none" w:sz="0" w:space="0" w:color="auto"/>
        <w:left w:val="none" w:sz="0" w:space="0" w:color="auto"/>
        <w:bottom w:val="none" w:sz="0" w:space="0" w:color="auto"/>
        <w:right w:val="none" w:sz="0" w:space="0" w:color="auto"/>
      </w:divBdr>
    </w:div>
    <w:div w:id="217395885">
      <w:bodyDiv w:val="1"/>
      <w:marLeft w:val="0"/>
      <w:marRight w:val="0"/>
      <w:marTop w:val="0"/>
      <w:marBottom w:val="0"/>
      <w:divBdr>
        <w:top w:val="none" w:sz="0" w:space="0" w:color="auto"/>
        <w:left w:val="none" w:sz="0" w:space="0" w:color="auto"/>
        <w:bottom w:val="none" w:sz="0" w:space="0" w:color="auto"/>
        <w:right w:val="none" w:sz="0" w:space="0" w:color="auto"/>
      </w:divBdr>
    </w:div>
    <w:div w:id="237835242">
      <w:bodyDiv w:val="1"/>
      <w:marLeft w:val="0"/>
      <w:marRight w:val="0"/>
      <w:marTop w:val="0"/>
      <w:marBottom w:val="0"/>
      <w:divBdr>
        <w:top w:val="none" w:sz="0" w:space="0" w:color="auto"/>
        <w:left w:val="none" w:sz="0" w:space="0" w:color="auto"/>
        <w:bottom w:val="none" w:sz="0" w:space="0" w:color="auto"/>
        <w:right w:val="none" w:sz="0" w:space="0" w:color="auto"/>
      </w:divBdr>
    </w:div>
    <w:div w:id="241767094">
      <w:bodyDiv w:val="1"/>
      <w:marLeft w:val="0"/>
      <w:marRight w:val="0"/>
      <w:marTop w:val="0"/>
      <w:marBottom w:val="0"/>
      <w:divBdr>
        <w:top w:val="none" w:sz="0" w:space="0" w:color="auto"/>
        <w:left w:val="none" w:sz="0" w:space="0" w:color="auto"/>
        <w:bottom w:val="none" w:sz="0" w:space="0" w:color="auto"/>
        <w:right w:val="none" w:sz="0" w:space="0" w:color="auto"/>
      </w:divBdr>
    </w:div>
    <w:div w:id="263656582">
      <w:bodyDiv w:val="1"/>
      <w:marLeft w:val="0"/>
      <w:marRight w:val="0"/>
      <w:marTop w:val="0"/>
      <w:marBottom w:val="0"/>
      <w:divBdr>
        <w:top w:val="none" w:sz="0" w:space="0" w:color="auto"/>
        <w:left w:val="none" w:sz="0" w:space="0" w:color="auto"/>
        <w:bottom w:val="none" w:sz="0" w:space="0" w:color="auto"/>
        <w:right w:val="none" w:sz="0" w:space="0" w:color="auto"/>
      </w:divBdr>
    </w:div>
    <w:div w:id="269095533">
      <w:bodyDiv w:val="1"/>
      <w:marLeft w:val="0"/>
      <w:marRight w:val="0"/>
      <w:marTop w:val="0"/>
      <w:marBottom w:val="0"/>
      <w:divBdr>
        <w:top w:val="none" w:sz="0" w:space="0" w:color="auto"/>
        <w:left w:val="none" w:sz="0" w:space="0" w:color="auto"/>
        <w:bottom w:val="none" w:sz="0" w:space="0" w:color="auto"/>
        <w:right w:val="none" w:sz="0" w:space="0" w:color="auto"/>
      </w:divBdr>
    </w:div>
    <w:div w:id="274294011">
      <w:bodyDiv w:val="1"/>
      <w:marLeft w:val="0"/>
      <w:marRight w:val="0"/>
      <w:marTop w:val="0"/>
      <w:marBottom w:val="0"/>
      <w:divBdr>
        <w:top w:val="none" w:sz="0" w:space="0" w:color="auto"/>
        <w:left w:val="none" w:sz="0" w:space="0" w:color="auto"/>
        <w:bottom w:val="none" w:sz="0" w:space="0" w:color="auto"/>
        <w:right w:val="none" w:sz="0" w:space="0" w:color="auto"/>
      </w:divBdr>
    </w:div>
    <w:div w:id="280770392">
      <w:bodyDiv w:val="1"/>
      <w:marLeft w:val="0"/>
      <w:marRight w:val="0"/>
      <w:marTop w:val="0"/>
      <w:marBottom w:val="0"/>
      <w:divBdr>
        <w:top w:val="none" w:sz="0" w:space="0" w:color="auto"/>
        <w:left w:val="none" w:sz="0" w:space="0" w:color="auto"/>
        <w:bottom w:val="none" w:sz="0" w:space="0" w:color="auto"/>
        <w:right w:val="none" w:sz="0" w:space="0" w:color="auto"/>
      </w:divBdr>
    </w:div>
    <w:div w:id="298846639">
      <w:bodyDiv w:val="1"/>
      <w:marLeft w:val="0"/>
      <w:marRight w:val="0"/>
      <w:marTop w:val="0"/>
      <w:marBottom w:val="0"/>
      <w:divBdr>
        <w:top w:val="none" w:sz="0" w:space="0" w:color="auto"/>
        <w:left w:val="none" w:sz="0" w:space="0" w:color="auto"/>
        <w:bottom w:val="none" w:sz="0" w:space="0" w:color="auto"/>
        <w:right w:val="none" w:sz="0" w:space="0" w:color="auto"/>
      </w:divBdr>
    </w:div>
    <w:div w:id="299924115">
      <w:bodyDiv w:val="1"/>
      <w:marLeft w:val="0"/>
      <w:marRight w:val="0"/>
      <w:marTop w:val="0"/>
      <w:marBottom w:val="0"/>
      <w:divBdr>
        <w:top w:val="none" w:sz="0" w:space="0" w:color="auto"/>
        <w:left w:val="none" w:sz="0" w:space="0" w:color="auto"/>
        <w:bottom w:val="none" w:sz="0" w:space="0" w:color="auto"/>
        <w:right w:val="none" w:sz="0" w:space="0" w:color="auto"/>
      </w:divBdr>
    </w:div>
    <w:div w:id="328866983">
      <w:bodyDiv w:val="1"/>
      <w:marLeft w:val="0"/>
      <w:marRight w:val="0"/>
      <w:marTop w:val="0"/>
      <w:marBottom w:val="0"/>
      <w:divBdr>
        <w:top w:val="none" w:sz="0" w:space="0" w:color="auto"/>
        <w:left w:val="none" w:sz="0" w:space="0" w:color="auto"/>
        <w:bottom w:val="none" w:sz="0" w:space="0" w:color="auto"/>
        <w:right w:val="none" w:sz="0" w:space="0" w:color="auto"/>
      </w:divBdr>
    </w:div>
    <w:div w:id="332533660">
      <w:bodyDiv w:val="1"/>
      <w:marLeft w:val="0"/>
      <w:marRight w:val="0"/>
      <w:marTop w:val="0"/>
      <w:marBottom w:val="0"/>
      <w:divBdr>
        <w:top w:val="none" w:sz="0" w:space="0" w:color="auto"/>
        <w:left w:val="none" w:sz="0" w:space="0" w:color="auto"/>
        <w:bottom w:val="none" w:sz="0" w:space="0" w:color="auto"/>
        <w:right w:val="none" w:sz="0" w:space="0" w:color="auto"/>
      </w:divBdr>
    </w:div>
    <w:div w:id="333149786">
      <w:bodyDiv w:val="1"/>
      <w:marLeft w:val="0"/>
      <w:marRight w:val="0"/>
      <w:marTop w:val="0"/>
      <w:marBottom w:val="0"/>
      <w:divBdr>
        <w:top w:val="none" w:sz="0" w:space="0" w:color="auto"/>
        <w:left w:val="none" w:sz="0" w:space="0" w:color="auto"/>
        <w:bottom w:val="none" w:sz="0" w:space="0" w:color="auto"/>
        <w:right w:val="none" w:sz="0" w:space="0" w:color="auto"/>
      </w:divBdr>
    </w:div>
    <w:div w:id="342980477">
      <w:bodyDiv w:val="1"/>
      <w:marLeft w:val="0"/>
      <w:marRight w:val="0"/>
      <w:marTop w:val="0"/>
      <w:marBottom w:val="0"/>
      <w:divBdr>
        <w:top w:val="none" w:sz="0" w:space="0" w:color="auto"/>
        <w:left w:val="none" w:sz="0" w:space="0" w:color="auto"/>
        <w:bottom w:val="none" w:sz="0" w:space="0" w:color="auto"/>
        <w:right w:val="none" w:sz="0" w:space="0" w:color="auto"/>
      </w:divBdr>
    </w:div>
    <w:div w:id="352997697">
      <w:bodyDiv w:val="1"/>
      <w:marLeft w:val="0"/>
      <w:marRight w:val="0"/>
      <w:marTop w:val="0"/>
      <w:marBottom w:val="0"/>
      <w:divBdr>
        <w:top w:val="none" w:sz="0" w:space="0" w:color="auto"/>
        <w:left w:val="none" w:sz="0" w:space="0" w:color="auto"/>
        <w:bottom w:val="none" w:sz="0" w:space="0" w:color="auto"/>
        <w:right w:val="none" w:sz="0" w:space="0" w:color="auto"/>
      </w:divBdr>
    </w:div>
    <w:div w:id="361826282">
      <w:bodyDiv w:val="1"/>
      <w:marLeft w:val="0"/>
      <w:marRight w:val="0"/>
      <w:marTop w:val="0"/>
      <w:marBottom w:val="0"/>
      <w:divBdr>
        <w:top w:val="none" w:sz="0" w:space="0" w:color="auto"/>
        <w:left w:val="none" w:sz="0" w:space="0" w:color="auto"/>
        <w:bottom w:val="none" w:sz="0" w:space="0" w:color="auto"/>
        <w:right w:val="none" w:sz="0" w:space="0" w:color="auto"/>
      </w:divBdr>
    </w:div>
    <w:div w:id="378014258">
      <w:bodyDiv w:val="1"/>
      <w:marLeft w:val="0"/>
      <w:marRight w:val="0"/>
      <w:marTop w:val="0"/>
      <w:marBottom w:val="0"/>
      <w:divBdr>
        <w:top w:val="none" w:sz="0" w:space="0" w:color="auto"/>
        <w:left w:val="none" w:sz="0" w:space="0" w:color="auto"/>
        <w:bottom w:val="none" w:sz="0" w:space="0" w:color="auto"/>
        <w:right w:val="none" w:sz="0" w:space="0" w:color="auto"/>
      </w:divBdr>
    </w:div>
    <w:div w:id="385491575">
      <w:bodyDiv w:val="1"/>
      <w:marLeft w:val="0"/>
      <w:marRight w:val="0"/>
      <w:marTop w:val="0"/>
      <w:marBottom w:val="0"/>
      <w:divBdr>
        <w:top w:val="none" w:sz="0" w:space="0" w:color="auto"/>
        <w:left w:val="none" w:sz="0" w:space="0" w:color="auto"/>
        <w:bottom w:val="none" w:sz="0" w:space="0" w:color="auto"/>
        <w:right w:val="none" w:sz="0" w:space="0" w:color="auto"/>
      </w:divBdr>
    </w:div>
    <w:div w:id="388191967">
      <w:bodyDiv w:val="1"/>
      <w:marLeft w:val="0"/>
      <w:marRight w:val="0"/>
      <w:marTop w:val="0"/>
      <w:marBottom w:val="0"/>
      <w:divBdr>
        <w:top w:val="none" w:sz="0" w:space="0" w:color="auto"/>
        <w:left w:val="none" w:sz="0" w:space="0" w:color="auto"/>
        <w:bottom w:val="none" w:sz="0" w:space="0" w:color="auto"/>
        <w:right w:val="none" w:sz="0" w:space="0" w:color="auto"/>
      </w:divBdr>
    </w:div>
    <w:div w:id="399255888">
      <w:bodyDiv w:val="1"/>
      <w:marLeft w:val="0"/>
      <w:marRight w:val="0"/>
      <w:marTop w:val="0"/>
      <w:marBottom w:val="0"/>
      <w:divBdr>
        <w:top w:val="none" w:sz="0" w:space="0" w:color="auto"/>
        <w:left w:val="none" w:sz="0" w:space="0" w:color="auto"/>
        <w:bottom w:val="none" w:sz="0" w:space="0" w:color="auto"/>
        <w:right w:val="none" w:sz="0" w:space="0" w:color="auto"/>
      </w:divBdr>
    </w:div>
    <w:div w:id="410735393">
      <w:bodyDiv w:val="1"/>
      <w:marLeft w:val="0"/>
      <w:marRight w:val="0"/>
      <w:marTop w:val="0"/>
      <w:marBottom w:val="0"/>
      <w:divBdr>
        <w:top w:val="none" w:sz="0" w:space="0" w:color="auto"/>
        <w:left w:val="none" w:sz="0" w:space="0" w:color="auto"/>
        <w:bottom w:val="none" w:sz="0" w:space="0" w:color="auto"/>
        <w:right w:val="none" w:sz="0" w:space="0" w:color="auto"/>
      </w:divBdr>
    </w:div>
    <w:div w:id="433552086">
      <w:bodyDiv w:val="1"/>
      <w:marLeft w:val="0"/>
      <w:marRight w:val="0"/>
      <w:marTop w:val="0"/>
      <w:marBottom w:val="0"/>
      <w:divBdr>
        <w:top w:val="none" w:sz="0" w:space="0" w:color="auto"/>
        <w:left w:val="none" w:sz="0" w:space="0" w:color="auto"/>
        <w:bottom w:val="none" w:sz="0" w:space="0" w:color="auto"/>
        <w:right w:val="none" w:sz="0" w:space="0" w:color="auto"/>
      </w:divBdr>
    </w:div>
    <w:div w:id="455300639">
      <w:bodyDiv w:val="1"/>
      <w:marLeft w:val="0"/>
      <w:marRight w:val="0"/>
      <w:marTop w:val="0"/>
      <w:marBottom w:val="0"/>
      <w:divBdr>
        <w:top w:val="none" w:sz="0" w:space="0" w:color="auto"/>
        <w:left w:val="none" w:sz="0" w:space="0" w:color="auto"/>
        <w:bottom w:val="none" w:sz="0" w:space="0" w:color="auto"/>
        <w:right w:val="none" w:sz="0" w:space="0" w:color="auto"/>
      </w:divBdr>
    </w:div>
    <w:div w:id="477037125">
      <w:bodyDiv w:val="1"/>
      <w:marLeft w:val="0"/>
      <w:marRight w:val="0"/>
      <w:marTop w:val="0"/>
      <w:marBottom w:val="0"/>
      <w:divBdr>
        <w:top w:val="none" w:sz="0" w:space="0" w:color="auto"/>
        <w:left w:val="none" w:sz="0" w:space="0" w:color="auto"/>
        <w:bottom w:val="none" w:sz="0" w:space="0" w:color="auto"/>
        <w:right w:val="none" w:sz="0" w:space="0" w:color="auto"/>
      </w:divBdr>
    </w:div>
    <w:div w:id="498472104">
      <w:bodyDiv w:val="1"/>
      <w:marLeft w:val="0"/>
      <w:marRight w:val="0"/>
      <w:marTop w:val="0"/>
      <w:marBottom w:val="0"/>
      <w:divBdr>
        <w:top w:val="none" w:sz="0" w:space="0" w:color="auto"/>
        <w:left w:val="none" w:sz="0" w:space="0" w:color="auto"/>
        <w:bottom w:val="none" w:sz="0" w:space="0" w:color="auto"/>
        <w:right w:val="none" w:sz="0" w:space="0" w:color="auto"/>
      </w:divBdr>
    </w:div>
    <w:div w:id="499197371">
      <w:bodyDiv w:val="1"/>
      <w:marLeft w:val="0"/>
      <w:marRight w:val="0"/>
      <w:marTop w:val="0"/>
      <w:marBottom w:val="0"/>
      <w:divBdr>
        <w:top w:val="none" w:sz="0" w:space="0" w:color="auto"/>
        <w:left w:val="none" w:sz="0" w:space="0" w:color="auto"/>
        <w:bottom w:val="none" w:sz="0" w:space="0" w:color="auto"/>
        <w:right w:val="none" w:sz="0" w:space="0" w:color="auto"/>
      </w:divBdr>
    </w:div>
    <w:div w:id="502746179">
      <w:bodyDiv w:val="1"/>
      <w:marLeft w:val="0"/>
      <w:marRight w:val="0"/>
      <w:marTop w:val="0"/>
      <w:marBottom w:val="0"/>
      <w:divBdr>
        <w:top w:val="none" w:sz="0" w:space="0" w:color="auto"/>
        <w:left w:val="none" w:sz="0" w:space="0" w:color="auto"/>
        <w:bottom w:val="none" w:sz="0" w:space="0" w:color="auto"/>
        <w:right w:val="none" w:sz="0" w:space="0" w:color="auto"/>
      </w:divBdr>
    </w:div>
    <w:div w:id="503322851">
      <w:bodyDiv w:val="1"/>
      <w:marLeft w:val="0"/>
      <w:marRight w:val="0"/>
      <w:marTop w:val="0"/>
      <w:marBottom w:val="0"/>
      <w:divBdr>
        <w:top w:val="none" w:sz="0" w:space="0" w:color="auto"/>
        <w:left w:val="none" w:sz="0" w:space="0" w:color="auto"/>
        <w:bottom w:val="none" w:sz="0" w:space="0" w:color="auto"/>
        <w:right w:val="none" w:sz="0" w:space="0" w:color="auto"/>
      </w:divBdr>
    </w:div>
    <w:div w:id="505169927">
      <w:bodyDiv w:val="1"/>
      <w:marLeft w:val="0"/>
      <w:marRight w:val="0"/>
      <w:marTop w:val="0"/>
      <w:marBottom w:val="0"/>
      <w:divBdr>
        <w:top w:val="none" w:sz="0" w:space="0" w:color="auto"/>
        <w:left w:val="none" w:sz="0" w:space="0" w:color="auto"/>
        <w:bottom w:val="none" w:sz="0" w:space="0" w:color="auto"/>
        <w:right w:val="none" w:sz="0" w:space="0" w:color="auto"/>
      </w:divBdr>
    </w:div>
    <w:div w:id="512887708">
      <w:bodyDiv w:val="1"/>
      <w:marLeft w:val="0"/>
      <w:marRight w:val="0"/>
      <w:marTop w:val="0"/>
      <w:marBottom w:val="0"/>
      <w:divBdr>
        <w:top w:val="none" w:sz="0" w:space="0" w:color="auto"/>
        <w:left w:val="none" w:sz="0" w:space="0" w:color="auto"/>
        <w:bottom w:val="none" w:sz="0" w:space="0" w:color="auto"/>
        <w:right w:val="none" w:sz="0" w:space="0" w:color="auto"/>
      </w:divBdr>
    </w:div>
    <w:div w:id="515118824">
      <w:bodyDiv w:val="1"/>
      <w:marLeft w:val="0"/>
      <w:marRight w:val="0"/>
      <w:marTop w:val="0"/>
      <w:marBottom w:val="0"/>
      <w:divBdr>
        <w:top w:val="none" w:sz="0" w:space="0" w:color="auto"/>
        <w:left w:val="none" w:sz="0" w:space="0" w:color="auto"/>
        <w:bottom w:val="none" w:sz="0" w:space="0" w:color="auto"/>
        <w:right w:val="none" w:sz="0" w:space="0" w:color="auto"/>
      </w:divBdr>
    </w:div>
    <w:div w:id="520356876">
      <w:bodyDiv w:val="1"/>
      <w:marLeft w:val="0"/>
      <w:marRight w:val="0"/>
      <w:marTop w:val="0"/>
      <w:marBottom w:val="0"/>
      <w:divBdr>
        <w:top w:val="none" w:sz="0" w:space="0" w:color="auto"/>
        <w:left w:val="none" w:sz="0" w:space="0" w:color="auto"/>
        <w:bottom w:val="none" w:sz="0" w:space="0" w:color="auto"/>
        <w:right w:val="none" w:sz="0" w:space="0" w:color="auto"/>
      </w:divBdr>
    </w:div>
    <w:div w:id="533807003">
      <w:bodyDiv w:val="1"/>
      <w:marLeft w:val="0"/>
      <w:marRight w:val="0"/>
      <w:marTop w:val="0"/>
      <w:marBottom w:val="0"/>
      <w:divBdr>
        <w:top w:val="none" w:sz="0" w:space="0" w:color="auto"/>
        <w:left w:val="none" w:sz="0" w:space="0" w:color="auto"/>
        <w:bottom w:val="none" w:sz="0" w:space="0" w:color="auto"/>
        <w:right w:val="none" w:sz="0" w:space="0" w:color="auto"/>
      </w:divBdr>
    </w:div>
    <w:div w:id="536741452">
      <w:bodyDiv w:val="1"/>
      <w:marLeft w:val="0"/>
      <w:marRight w:val="0"/>
      <w:marTop w:val="0"/>
      <w:marBottom w:val="0"/>
      <w:divBdr>
        <w:top w:val="none" w:sz="0" w:space="0" w:color="auto"/>
        <w:left w:val="none" w:sz="0" w:space="0" w:color="auto"/>
        <w:bottom w:val="none" w:sz="0" w:space="0" w:color="auto"/>
        <w:right w:val="none" w:sz="0" w:space="0" w:color="auto"/>
      </w:divBdr>
    </w:div>
    <w:div w:id="543561671">
      <w:bodyDiv w:val="1"/>
      <w:marLeft w:val="0"/>
      <w:marRight w:val="0"/>
      <w:marTop w:val="0"/>
      <w:marBottom w:val="0"/>
      <w:divBdr>
        <w:top w:val="none" w:sz="0" w:space="0" w:color="auto"/>
        <w:left w:val="none" w:sz="0" w:space="0" w:color="auto"/>
        <w:bottom w:val="none" w:sz="0" w:space="0" w:color="auto"/>
        <w:right w:val="none" w:sz="0" w:space="0" w:color="auto"/>
      </w:divBdr>
    </w:div>
    <w:div w:id="545601061">
      <w:bodyDiv w:val="1"/>
      <w:marLeft w:val="0"/>
      <w:marRight w:val="0"/>
      <w:marTop w:val="0"/>
      <w:marBottom w:val="0"/>
      <w:divBdr>
        <w:top w:val="none" w:sz="0" w:space="0" w:color="auto"/>
        <w:left w:val="none" w:sz="0" w:space="0" w:color="auto"/>
        <w:bottom w:val="none" w:sz="0" w:space="0" w:color="auto"/>
        <w:right w:val="none" w:sz="0" w:space="0" w:color="auto"/>
      </w:divBdr>
    </w:div>
    <w:div w:id="549851791">
      <w:bodyDiv w:val="1"/>
      <w:marLeft w:val="0"/>
      <w:marRight w:val="0"/>
      <w:marTop w:val="0"/>
      <w:marBottom w:val="0"/>
      <w:divBdr>
        <w:top w:val="none" w:sz="0" w:space="0" w:color="auto"/>
        <w:left w:val="none" w:sz="0" w:space="0" w:color="auto"/>
        <w:bottom w:val="none" w:sz="0" w:space="0" w:color="auto"/>
        <w:right w:val="none" w:sz="0" w:space="0" w:color="auto"/>
      </w:divBdr>
    </w:div>
    <w:div w:id="559483102">
      <w:bodyDiv w:val="1"/>
      <w:marLeft w:val="0"/>
      <w:marRight w:val="0"/>
      <w:marTop w:val="0"/>
      <w:marBottom w:val="0"/>
      <w:divBdr>
        <w:top w:val="none" w:sz="0" w:space="0" w:color="auto"/>
        <w:left w:val="none" w:sz="0" w:space="0" w:color="auto"/>
        <w:bottom w:val="none" w:sz="0" w:space="0" w:color="auto"/>
        <w:right w:val="none" w:sz="0" w:space="0" w:color="auto"/>
      </w:divBdr>
    </w:div>
    <w:div w:id="574051216">
      <w:bodyDiv w:val="1"/>
      <w:marLeft w:val="0"/>
      <w:marRight w:val="0"/>
      <w:marTop w:val="0"/>
      <w:marBottom w:val="0"/>
      <w:divBdr>
        <w:top w:val="none" w:sz="0" w:space="0" w:color="auto"/>
        <w:left w:val="none" w:sz="0" w:space="0" w:color="auto"/>
        <w:bottom w:val="none" w:sz="0" w:space="0" w:color="auto"/>
        <w:right w:val="none" w:sz="0" w:space="0" w:color="auto"/>
      </w:divBdr>
    </w:div>
    <w:div w:id="602227549">
      <w:bodyDiv w:val="1"/>
      <w:marLeft w:val="0"/>
      <w:marRight w:val="0"/>
      <w:marTop w:val="0"/>
      <w:marBottom w:val="0"/>
      <w:divBdr>
        <w:top w:val="none" w:sz="0" w:space="0" w:color="auto"/>
        <w:left w:val="none" w:sz="0" w:space="0" w:color="auto"/>
        <w:bottom w:val="none" w:sz="0" w:space="0" w:color="auto"/>
        <w:right w:val="none" w:sz="0" w:space="0" w:color="auto"/>
      </w:divBdr>
    </w:div>
    <w:div w:id="620962291">
      <w:bodyDiv w:val="1"/>
      <w:marLeft w:val="0"/>
      <w:marRight w:val="0"/>
      <w:marTop w:val="0"/>
      <w:marBottom w:val="0"/>
      <w:divBdr>
        <w:top w:val="none" w:sz="0" w:space="0" w:color="auto"/>
        <w:left w:val="none" w:sz="0" w:space="0" w:color="auto"/>
        <w:bottom w:val="none" w:sz="0" w:space="0" w:color="auto"/>
        <w:right w:val="none" w:sz="0" w:space="0" w:color="auto"/>
      </w:divBdr>
    </w:div>
    <w:div w:id="626424678">
      <w:bodyDiv w:val="1"/>
      <w:marLeft w:val="0"/>
      <w:marRight w:val="0"/>
      <w:marTop w:val="0"/>
      <w:marBottom w:val="0"/>
      <w:divBdr>
        <w:top w:val="none" w:sz="0" w:space="0" w:color="auto"/>
        <w:left w:val="none" w:sz="0" w:space="0" w:color="auto"/>
        <w:bottom w:val="none" w:sz="0" w:space="0" w:color="auto"/>
        <w:right w:val="none" w:sz="0" w:space="0" w:color="auto"/>
      </w:divBdr>
    </w:div>
    <w:div w:id="629553485">
      <w:bodyDiv w:val="1"/>
      <w:marLeft w:val="0"/>
      <w:marRight w:val="0"/>
      <w:marTop w:val="0"/>
      <w:marBottom w:val="0"/>
      <w:divBdr>
        <w:top w:val="none" w:sz="0" w:space="0" w:color="auto"/>
        <w:left w:val="none" w:sz="0" w:space="0" w:color="auto"/>
        <w:bottom w:val="none" w:sz="0" w:space="0" w:color="auto"/>
        <w:right w:val="none" w:sz="0" w:space="0" w:color="auto"/>
      </w:divBdr>
    </w:div>
    <w:div w:id="638003001">
      <w:bodyDiv w:val="1"/>
      <w:marLeft w:val="0"/>
      <w:marRight w:val="0"/>
      <w:marTop w:val="0"/>
      <w:marBottom w:val="0"/>
      <w:divBdr>
        <w:top w:val="none" w:sz="0" w:space="0" w:color="auto"/>
        <w:left w:val="none" w:sz="0" w:space="0" w:color="auto"/>
        <w:bottom w:val="none" w:sz="0" w:space="0" w:color="auto"/>
        <w:right w:val="none" w:sz="0" w:space="0" w:color="auto"/>
      </w:divBdr>
    </w:div>
    <w:div w:id="648100018">
      <w:bodyDiv w:val="1"/>
      <w:marLeft w:val="0"/>
      <w:marRight w:val="0"/>
      <w:marTop w:val="0"/>
      <w:marBottom w:val="0"/>
      <w:divBdr>
        <w:top w:val="none" w:sz="0" w:space="0" w:color="auto"/>
        <w:left w:val="none" w:sz="0" w:space="0" w:color="auto"/>
        <w:bottom w:val="none" w:sz="0" w:space="0" w:color="auto"/>
        <w:right w:val="none" w:sz="0" w:space="0" w:color="auto"/>
      </w:divBdr>
    </w:div>
    <w:div w:id="654073090">
      <w:bodyDiv w:val="1"/>
      <w:marLeft w:val="0"/>
      <w:marRight w:val="0"/>
      <w:marTop w:val="0"/>
      <w:marBottom w:val="0"/>
      <w:divBdr>
        <w:top w:val="none" w:sz="0" w:space="0" w:color="auto"/>
        <w:left w:val="none" w:sz="0" w:space="0" w:color="auto"/>
        <w:bottom w:val="none" w:sz="0" w:space="0" w:color="auto"/>
        <w:right w:val="none" w:sz="0" w:space="0" w:color="auto"/>
      </w:divBdr>
    </w:div>
    <w:div w:id="726298840">
      <w:bodyDiv w:val="1"/>
      <w:marLeft w:val="0"/>
      <w:marRight w:val="0"/>
      <w:marTop w:val="0"/>
      <w:marBottom w:val="0"/>
      <w:divBdr>
        <w:top w:val="none" w:sz="0" w:space="0" w:color="auto"/>
        <w:left w:val="none" w:sz="0" w:space="0" w:color="auto"/>
        <w:bottom w:val="none" w:sz="0" w:space="0" w:color="auto"/>
        <w:right w:val="none" w:sz="0" w:space="0" w:color="auto"/>
      </w:divBdr>
    </w:div>
    <w:div w:id="735972798">
      <w:bodyDiv w:val="1"/>
      <w:marLeft w:val="0"/>
      <w:marRight w:val="0"/>
      <w:marTop w:val="0"/>
      <w:marBottom w:val="0"/>
      <w:divBdr>
        <w:top w:val="none" w:sz="0" w:space="0" w:color="auto"/>
        <w:left w:val="none" w:sz="0" w:space="0" w:color="auto"/>
        <w:bottom w:val="none" w:sz="0" w:space="0" w:color="auto"/>
        <w:right w:val="none" w:sz="0" w:space="0" w:color="auto"/>
      </w:divBdr>
    </w:div>
    <w:div w:id="744185019">
      <w:bodyDiv w:val="1"/>
      <w:marLeft w:val="0"/>
      <w:marRight w:val="0"/>
      <w:marTop w:val="0"/>
      <w:marBottom w:val="0"/>
      <w:divBdr>
        <w:top w:val="none" w:sz="0" w:space="0" w:color="auto"/>
        <w:left w:val="none" w:sz="0" w:space="0" w:color="auto"/>
        <w:bottom w:val="none" w:sz="0" w:space="0" w:color="auto"/>
        <w:right w:val="none" w:sz="0" w:space="0" w:color="auto"/>
      </w:divBdr>
    </w:div>
    <w:div w:id="744692376">
      <w:bodyDiv w:val="1"/>
      <w:marLeft w:val="0"/>
      <w:marRight w:val="0"/>
      <w:marTop w:val="0"/>
      <w:marBottom w:val="0"/>
      <w:divBdr>
        <w:top w:val="none" w:sz="0" w:space="0" w:color="auto"/>
        <w:left w:val="none" w:sz="0" w:space="0" w:color="auto"/>
        <w:bottom w:val="none" w:sz="0" w:space="0" w:color="auto"/>
        <w:right w:val="none" w:sz="0" w:space="0" w:color="auto"/>
      </w:divBdr>
    </w:div>
    <w:div w:id="751783634">
      <w:bodyDiv w:val="1"/>
      <w:marLeft w:val="0"/>
      <w:marRight w:val="0"/>
      <w:marTop w:val="0"/>
      <w:marBottom w:val="0"/>
      <w:divBdr>
        <w:top w:val="none" w:sz="0" w:space="0" w:color="auto"/>
        <w:left w:val="none" w:sz="0" w:space="0" w:color="auto"/>
        <w:bottom w:val="none" w:sz="0" w:space="0" w:color="auto"/>
        <w:right w:val="none" w:sz="0" w:space="0" w:color="auto"/>
      </w:divBdr>
    </w:div>
    <w:div w:id="768354210">
      <w:bodyDiv w:val="1"/>
      <w:marLeft w:val="0"/>
      <w:marRight w:val="0"/>
      <w:marTop w:val="0"/>
      <w:marBottom w:val="0"/>
      <w:divBdr>
        <w:top w:val="none" w:sz="0" w:space="0" w:color="auto"/>
        <w:left w:val="none" w:sz="0" w:space="0" w:color="auto"/>
        <w:bottom w:val="none" w:sz="0" w:space="0" w:color="auto"/>
        <w:right w:val="none" w:sz="0" w:space="0" w:color="auto"/>
      </w:divBdr>
    </w:div>
    <w:div w:id="787505458">
      <w:bodyDiv w:val="1"/>
      <w:marLeft w:val="0"/>
      <w:marRight w:val="0"/>
      <w:marTop w:val="0"/>
      <w:marBottom w:val="0"/>
      <w:divBdr>
        <w:top w:val="none" w:sz="0" w:space="0" w:color="auto"/>
        <w:left w:val="none" w:sz="0" w:space="0" w:color="auto"/>
        <w:bottom w:val="none" w:sz="0" w:space="0" w:color="auto"/>
        <w:right w:val="none" w:sz="0" w:space="0" w:color="auto"/>
      </w:divBdr>
    </w:div>
    <w:div w:id="835458321">
      <w:bodyDiv w:val="1"/>
      <w:marLeft w:val="0"/>
      <w:marRight w:val="0"/>
      <w:marTop w:val="0"/>
      <w:marBottom w:val="0"/>
      <w:divBdr>
        <w:top w:val="none" w:sz="0" w:space="0" w:color="auto"/>
        <w:left w:val="none" w:sz="0" w:space="0" w:color="auto"/>
        <w:bottom w:val="none" w:sz="0" w:space="0" w:color="auto"/>
        <w:right w:val="none" w:sz="0" w:space="0" w:color="auto"/>
      </w:divBdr>
    </w:div>
    <w:div w:id="857736925">
      <w:bodyDiv w:val="1"/>
      <w:marLeft w:val="0"/>
      <w:marRight w:val="0"/>
      <w:marTop w:val="0"/>
      <w:marBottom w:val="0"/>
      <w:divBdr>
        <w:top w:val="none" w:sz="0" w:space="0" w:color="auto"/>
        <w:left w:val="none" w:sz="0" w:space="0" w:color="auto"/>
        <w:bottom w:val="none" w:sz="0" w:space="0" w:color="auto"/>
        <w:right w:val="none" w:sz="0" w:space="0" w:color="auto"/>
      </w:divBdr>
    </w:div>
    <w:div w:id="861238044">
      <w:bodyDiv w:val="1"/>
      <w:marLeft w:val="0"/>
      <w:marRight w:val="0"/>
      <w:marTop w:val="0"/>
      <w:marBottom w:val="0"/>
      <w:divBdr>
        <w:top w:val="none" w:sz="0" w:space="0" w:color="auto"/>
        <w:left w:val="none" w:sz="0" w:space="0" w:color="auto"/>
        <w:bottom w:val="none" w:sz="0" w:space="0" w:color="auto"/>
        <w:right w:val="none" w:sz="0" w:space="0" w:color="auto"/>
      </w:divBdr>
    </w:div>
    <w:div w:id="881675136">
      <w:bodyDiv w:val="1"/>
      <w:marLeft w:val="0"/>
      <w:marRight w:val="0"/>
      <w:marTop w:val="0"/>
      <w:marBottom w:val="0"/>
      <w:divBdr>
        <w:top w:val="none" w:sz="0" w:space="0" w:color="auto"/>
        <w:left w:val="none" w:sz="0" w:space="0" w:color="auto"/>
        <w:bottom w:val="none" w:sz="0" w:space="0" w:color="auto"/>
        <w:right w:val="none" w:sz="0" w:space="0" w:color="auto"/>
      </w:divBdr>
    </w:div>
    <w:div w:id="884492225">
      <w:bodyDiv w:val="1"/>
      <w:marLeft w:val="0"/>
      <w:marRight w:val="0"/>
      <w:marTop w:val="0"/>
      <w:marBottom w:val="0"/>
      <w:divBdr>
        <w:top w:val="none" w:sz="0" w:space="0" w:color="auto"/>
        <w:left w:val="none" w:sz="0" w:space="0" w:color="auto"/>
        <w:bottom w:val="none" w:sz="0" w:space="0" w:color="auto"/>
        <w:right w:val="none" w:sz="0" w:space="0" w:color="auto"/>
      </w:divBdr>
    </w:div>
    <w:div w:id="891770627">
      <w:bodyDiv w:val="1"/>
      <w:marLeft w:val="0"/>
      <w:marRight w:val="0"/>
      <w:marTop w:val="0"/>
      <w:marBottom w:val="0"/>
      <w:divBdr>
        <w:top w:val="none" w:sz="0" w:space="0" w:color="auto"/>
        <w:left w:val="none" w:sz="0" w:space="0" w:color="auto"/>
        <w:bottom w:val="none" w:sz="0" w:space="0" w:color="auto"/>
        <w:right w:val="none" w:sz="0" w:space="0" w:color="auto"/>
      </w:divBdr>
    </w:div>
    <w:div w:id="900796197">
      <w:bodyDiv w:val="1"/>
      <w:marLeft w:val="0"/>
      <w:marRight w:val="0"/>
      <w:marTop w:val="0"/>
      <w:marBottom w:val="0"/>
      <w:divBdr>
        <w:top w:val="none" w:sz="0" w:space="0" w:color="auto"/>
        <w:left w:val="none" w:sz="0" w:space="0" w:color="auto"/>
        <w:bottom w:val="none" w:sz="0" w:space="0" w:color="auto"/>
        <w:right w:val="none" w:sz="0" w:space="0" w:color="auto"/>
      </w:divBdr>
    </w:div>
    <w:div w:id="902181143">
      <w:bodyDiv w:val="1"/>
      <w:marLeft w:val="0"/>
      <w:marRight w:val="0"/>
      <w:marTop w:val="0"/>
      <w:marBottom w:val="0"/>
      <w:divBdr>
        <w:top w:val="none" w:sz="0" w:space="0" w:color="auto"/>
        <w:left w:val="none" w:sz="0" w:space="0" w:color="auto"/>
        <w:bottom w:val="none" w:sz="0" w:space="0" w:color="auto"/>
        <w:right w:val="none" w:sz="0" w:space="0" w:color="auto"/>
      </w:divBdr>
    </w:div>
    <w:div w:id="914432566">
      <w:bodyDiv w:val="1"/>
      <w:marLeft w:val="0"/>
      <w:marRight w:val="0"/>
      <w:marTop w:val="0"/>
      <w:marBottom w:val="0"/>
      <w:divBdr>
        <w:top w:val="none" w:sz="0" w:space="0" w:color="auto"/>
        <w:left w:val="none" w:sz="0" w:space="0" w:color="auto"/>
        <w:bottom w:val="none" w:sz="0" w:space="0" w:color="auto"/>
        <w:right w:val="none" w:sz="0" w:space="0" w:color="auto"/>
      </w:divBdr>
    </w:div>
    <w:div w:id="916016885">
      <w:bodyDiv w:val="1"/>
      <w:marLeft w:val="0"/>
      <w:marRight w:val="0"/>
      <w:marTop w:val="0"/>
      <w:marBottom w:val="0"/>
      <w:divBdr>
        <w:top w:val="none" w:sz="0" w:space="0" w:color="auto"/>
        <w:left w:val="none" w:sz="0" w:space="0" w:color="auto"/>
        <w:bottom w:val="none" w:sz="0" w:space="0" w:color="auto"/>
        <w:right w:val="none" w:sz="0" w:space="0" w:color="auto"/>
      </w:divBdr>
    </w:div>
    <w:div w:id="916019754">
      <w:bodyDiv w:val="1"/>
      <w:marLeft w:val="0"/>
      <w:marRight w:val="0"/>
      <w:marTop w:val="0"/>
      <w:marBottom w:val="0"/>
      <w:divBdr>
        <w:top w:val="none" w:sz="0" w:space="0" w:color="auto"/>
        <w:left w:val="none" w:sz="0" w:space="0" w:color="auto"/>
        <w:bottom w:val="none" w:sz="0" w:space="0" w:color="auto"/>
        <w:right w:val="none" w:sz="0" w:space="0" w:color="auto"/>
      </w:divBdr>
    </w:div>
    <w:div w:id="932663878">
      <w:bodyDiv w:val="1"/>
      <w:marLeft w:val="0"/>
      <w:marRight w:val="0"/>
      <w:marTop w:val="0"/>
      <w:marBottom w:val="0"/>
      <w:divBdr>
        <w:top w:val="none" w:sz="0" w:space="0" w:color="auto"/>
        <w:left w:val="none" w:sz="0" w:space="0" w:color="auto"/>
        <w:bottom w:val="none" w:sz="0" w:space="0" w:color="auto"/>
        <w:right w:val="none" w:sz="0" w:space="0" w:color="auto"/>
      </w:divBdr>
    </w:div>
    <w:div w:id="939291040">
      <w:bodyDiv w:val="1"/>
      <w:marLeft w:val="0"/>
      <w:marRight w:val="0"/>
      <w:marTop w:val="0"/>
      <w:marBottom w:val="0"/>
      <w:divBdr>
        <w:top w:val="none" w:sz="0" w:space="0" w:color="auto"/>
        <w:left w:val="none" w:sz="0" w:space="0" w:color="auto"/>
        <w:bottom w:val="none" w:sz="0" w:space="0" w:color="auto"/>
        <w:right w:val="none" w:sz="0" w:space="0" w:color="auto"/>
      </w:divBdr>
    </w:div>
    <w:div w:id="945382909">
      <w:bodyDiv w:val="1"/>
      <w:marLeft w:val="0"/>
      <w:marRight w:val="0"/>
      <w:marTop w:val="0"/>
      <w:marBottom w:val="0"/>
      <w:divBdr>
        <w:top w:val="none" w:sz="0" w:space="0" w:color="auto"/>
        <w:left w:val="none" w:sz="0" w:space="0" w:color="auto"/>
        <w:bottom w:val="none" w:sz="0" w:space="0" w:color="auto"/>
        <w:right w:val="none" w:sz="0" w:space="0" w:color="auto"/>
      </w:divBdr>
    </w:div>
    <w:div w:id="946354402">
      <w:bodyDiv w:val="1"/>
      <w:marLeft w:val="0"/>
      <w:marRight w:val="0"/>
      <w:marTop w:val="0"/>
      <w:marBottom w:val="0"/>
      <w:divBdr>
        <w:top w:val="none" w:sz="0" w:space="0" w:color="auto"/>
        <w:left w:val="none" w:sz="0" w:space="0" w:color="auto"/>
        <w:bottom w:val="none" w:sz="0" w:space="0" w:color="auto"/>
        <w:right w:val="none" w:sz="0" w:space="0" w:color="auto"/>
      </w:divBdr>
    </w:div>
    <w:div w:id="970210540">
      <w:bodyDiv w:val="1"/>
      <w:marLeft w:val="0"/>
      <w:marRight w:val="0"/>
      <w:marTop w:val="0"/>
      <w:marBottom w:val="0"/>
      <w:divBdr>
        <w:top w:val="none" w:sz="0" w:space="0" w:color="auto"/>
        <w:left w:val="none" w:sz="0" w:space="0" w:color="auto"/>
        <w:bottom w:val="none" w:sz="0" w:space="0" w:color="auto"/>
        <w:right w:val="none" w:sz="0" w:space="0" w:color="auto"/>
      </w:divBdr>
    </w:div>
    <w:div w:id="989941761">
      <w:bodyDiv w:val="1"/>
      <w:marLeft w:val="0"/>
      <w:marRight w:val="0"/>
      <w:marTop w:val="0"/>
      <w:marBottom w:val="0"/>
      <w:divBdr>
        <w:top w:val="none" w:sz="0" w:space="0" w:color="auto"/>
        <w:left w:val="none" w:sz="0" w:space="0" w:color="auto"/>
        <w:bottom w:val="none" w:sz="0" w:space="0" w:color="auto"/>
        <w:right w:val="none" w:sz="0" w:space="0" w:color="auto"/>
      </w:divBdr>
    </w:div>
    <w:div w:id="990332959">
      <w:bodyDiv w:val="1"/>
      <w:marLeft w:val="0"/>
      <w:marRight w:val="0"/>
      <w:marTop w:val="0"/>
      <w:marBottom w:val="0"/>
      <w:divBdr>
        <w:top w:val="none" w:sz="0" w:space="0" w:color="auto"/>
        <w:left w:val="none" w:sz="0" w:space="0" w:color="auto"/>
        <w:bottom w:val="none" w:sz="0" w:space="0" w:color="auto"/>
        <w:right w:val="none" w:sz="0" w:space="0" w:color="auto"/>
      </w:divBdr>
    </w:div>
    <w:div w:id="992292066">
      <w:bodyDiv w:val="1"/>
      <w:marLeft w:val="0"/>
      <w:marRight w:val="0"/>
      <w:marTop w:val="0"/>
      <w:marBottom w:val="0"/>
      <w:divBdr>
        <w:top w:val="none" w:sz="0" w:space="0" w:color="auto"/>
        <w:left w:val="none" w:sz="0" w:space="0" w:color="auto"/>
        <w:bottom w:val="none" w:sz="0" w:space="0" w:color="auto"/>
        <w:right w:val="none" w:sz="0" w:space="0" w:color="auto"/>
      </w:divBdr>
    </w:div>
    <w:div w:id="1006008911">
      <w:bodyDiv w:val="1"/>
      <w:marLeft w:val="0"/>
      <w:marRight w:val="0"/>
      <w:marTop w:val="0"/>
      <w:marBottom w:val="0"/>
      <w:divBdr>
        <w:top w:val="none" w:sz="0" w:space="0" w:color="auto"/>
        <w:left w:val="none" w:sz="0" w:space="0" w:color="auto"/>
        <w:bottom w:val="none" w:sz="0" w:space="0" w:color="auto"/>
        <w:right w:val="none" w:sz="0" w:space="0" w:color="auto"/>
      </w:divBdr>
    </w:div>
    <w:div w:id="1007563389">
      <w:bodyDiv w:val="1"/>
      <w:marLeft w:val="0"/>
      <w:marRight w:val="0"/>
      <w:marTop w:val="0"/>
      <w:marBottom w:val="0"/>
      <w:divBdr>
        <w:top w:val="none" w:sz="0" w:space="0" w:color="auto"/>
        <w:left w:val="none" w:sz="0" w:space="0" w:color="auto"/>
        <w:bottom w:val="none" w:sz="0" w:space="0" w:color="auto"/>
        <w:right w:val="none" w:sz="0" w:space="0" w:color="auto"/>
      </w:divBdr>
    </w:div>
    <w:div w:id="1016808112">
      <w:bodyDiv w:val="1"/>
      <w:marLeft w:val="0"/>
      <w:marRight w:val="0"/>
      <w:marTop w:val="0"/>
      <w:marBottom w:val="0"/>
      <w:divBdr>
        <w:top w:val="none" w:sz="0" w:space="0" w:color="auto"/>
        <w:left w:val="none" w:sz="0" w:space="0" w:color="auto"/>
        <w:bottom w:val="none" w:sz="0" w:space="0" w:color="auto"/>
        <w:right w:val="none" w:sz="0" w:space="0" w:color="auto"/>
      </w:divBdr>
    </w:div>
    <w:div w:id="1033074250">
      <w:bodyDiv w:val="1"/>
      <w:marLeft w:val="0"/>
      <w:marRight w:val="0"/>
      <w:marTop w:val="0"/>
      <w:marBottom w:val="0"/>
      <w:divBdr>
        <w:top w:val="none" w:sz="0" w:space="0" w:color="auto"/>
        <w:left w:val="none" w:sz="0" w:space="0" w:color="auto"/>
        <w:bottom w:val="none" w:sz="0" w:space="0" w:color="auto"/>
        <w:right w:val="none" w:sz="0" w:space="0" w:color="auto"/>
      </w:divBdr>
    </w:div>
    <w:div w:id="1075930628">
      <w:bodyDiv w:val="1"/>
      <w:marLeft w:val="0"/>
      <w:marRight w:val="0"/>
      <w:marTop w:val="0"/>
      <w:marBottom w:val="0"/>
      <w:divBdr>
        <w:top w:val="none" w:sz="0" w:space="0" w:color="auto"/>
        <w:left w:val="none" w:sz="0" w:space="0" w:color="auto"/>
        <w:bottom w:val="none" w:sz="0" w:space="0" w:color="auto"/>
        <w:right w:val="none" w:sz="0" w:space="0" w:color="auto"/>
      </w:divBdr>
    </w:div>
    <w:div w:id="1080906831">
      <w:bodyDiv w:val="1"/>
      <w:marLeft w:val="0"/>
      <w:marRight w:val="0"/>
      <w:marTop w:val="0"/>
      <w:marBottom w:val="0"/>
      <w:divBdr>
        <w:top w:val="none" w:sz="0" w:space="0" w:color="auto"/>
        <w:left w:val="none" w:sz="0" w:space="0" w:color="auto"/>
        <w:bottom w:val="none" w:sz="0" w:space="0" w:color="auto"/>
        <w:right w:val="none" w:sz="0" w:space="0" w:color="auto"/>
      </w:divBdr>
    </w:div>
    <w:div w:id="1086922109">
      <w:bodyDiv w:val="1"/>
      <w:marLeft w:val="0"/>
      <w:marRight w:val="0"/>
      <w:marTop w:val="0"/>
      <w:marBottom w:val="0"/>
      <w:divBdr>
        <w:top w:val="none" w:sz="0" w:space="0" w:color="auto"/>
        <w:left w:val="none" w:sz="0" w:space="0" w:color="auto"/>
        <w:bottom w:val="none" w:sz="0" w:space="0" w:color="auto"/>
        <w:right w:val="none" w:sz="0" w:space="0" w:color="auto"/>
      </w:divBdr>
    </w:div>
    <w:div w:id="1094279461">
      <w:bodyDiv w:val="1"/>
      <w:marLeft w:val="0"/>
      <w:marRight w:val="0"/>
      <w:marTop w:val="0"/>
      <w:marBottom w:val="0"/>
      <w:divBdr>
        <w:top w:val="none" w:sz="0" w:space="0" w:color="auto"/>
        <w:left w:val="none" w:sz="0" w:space="0" w:color="auto"/>
        <w:bottom w:val="none" w:sz="0" w:space="0" w:color="auto"/>
        <w:right w:val="none" w:sz="0" w:space="0" w:color="auto"/>
      </w:divBdr>
    </w:div>
    <w:div w:id="1107626719">
      <w:bodyDiv w:val="1"/>
      <w:marLeft w:val="0"/>
      <w:marRight w:val="0"/>
      <w:marTop w:val="0"/>
      <w:marBottom w:val="0"/>
      <w:divBdr>
        <w:top w:val="none" w:sz="0" w:space="0" w:color="auto"/>
        <w:left w:val="none" w:sz="0" w:space="0" w:color="auto"/>
        <w:bottom w:val="none" w:sz="0" w:space="0" w:color="auto"/>
        <w:right w:val="none" w:sz="0" w:space="0" w:color="auto"/>
      </w:divBdr>
    </w:div>
    <w:div w:id="1108936959">
      <w:bodyDiv w:val="1"/>
      <w:marLeft w:val="0"/>
      <w:marRight w:val="0"/>
      <w:marTop w:val="0"/>
      <w:marBottom w:val="0"/>
      <w:divBdr>
        <w:top w:val="none" w:sz="0" w:space="0" w:color="auto"/>
        <w:left w:val="none" w:sz="0" w:space="0" w:color="auto"/>
        <w:bottom w:val="none" w:sz="0" w:space="0" w:color="auto"/>
        <w:right w:val="none" w:sz="0" w:space="0" w:color="auto"/>
      </w:divBdr>
    </w:div>
    <w:div w:id="1117407567">
      <w:bodyDiv w:val="1"/>
      <w:marLeft w:val="0"/>
      <w:marRight w:val="0"/>
      <w:marTop w:val="0"/>
      <w:marBottom w:val="0"/>
      <w:divBdr>
        <w:top w:val="none" w:sz="0" w:space="0" w:color="auto"/>
        <w:left w:val="none" w:sz="0" w:space="0" w:color="auto"/>
        <w:bottom w:val="none" w:sz="0" w:space="0" w:color="auto"/>
        <w:right w:val="none" w:sz="0" w:space="0" w:color="auto"/>
      </w:divBdr>
    </w:div>
    <w:div w:id="1119839238">
      <w:bodyDiv w:val="1"/>
      <w:marLeft w:val="0"/>
      <w:marRight w:val="0"/>
      <w:marTop w:val="0"/>
      <w:marBottom w:val="0"/>
      <w:divBdr>
        <w:top w:val="none" w:sz="0" w:space="0" w:color="auto"/>
        <w:left w:val="none" w:sz="0" w:space="0" w:color="auto"/>
        <w:bottom w:val="none" w:sz="0" w:space="0" w:color="auto"/>
        <w:right w:val="none" w:sz="0" w:space="0" w:color="auto"/>
      </w:divBdr>
    </w:div>
    <w:div w:id="1122190388">
      <w:bodyDiv w:val="1"/>
      <w:marLeft w:val="0"/>
      <w:marRight w:val="0"/>
      <w:marTop w:val="0"/>
      <w:marBottom w:val="0"/>
      <w:divBdr>
        <w:top w:val="none" w:sz="0" w:space="0" w:color="auto"/>
        <w:left w:val="none" w:sz="0" w:space="0" w:color="auto"/>
        <w:bottom w:val="none" w:sz="0" w:space="0" w:color="auto"/>
        <w:right w:val="none" w:sz="0" w:space="0" w:color="auto"/>
      </w:divBdr>
    </w:div>
    <w:div w:id="1123621365">
      <w:bodyDiv w:val="1"/>
      <w:marLeft w:val="0"/>
      <w:marRight w:val="0"/>
      <w:marTop w:val="0"/>
      <w:marBottom w:val="0"/>
      <w:divBdr>
        <w:top w:val="none" w:sz="0" w:space="0" w:color="auto"/>
        <w:left w:val="none" w:sz="0" w:space="0" w:color="auto"/>
        <w:bottom w:val="none" w:sz="0" w:space="0" w:color="auto"/>
        <w:right w:val="none" w:sz="0" w:space="0" w:color="auto"/>
      </w:divBdr>
    </w:div>
    <w:div w:id="1139959158">
      <w:bodyDiv w:val="1"/>
      <w:marLeft w:val="0"/>
      <w:marRight w:val="0"/>
      <w:marTop w:val="0"/>
      <w:marBottom w:val="0"/>
      <w:divBdr>
        <w:top w:val="none" w:sz="0" w:space="0" w:color="auto"/>
        <w:left w:val="none" w:sz="0" w:space="0" w:color="auto"/>
        <w:bottom w:val="none" w:sz="0" w:space="0" w:color="auto"/>
        <w:right w:val="none" w:sz="0" w:space="0" w:color="auto"/>
      </w:divBdr>
    </w:div>
    <w:div w:id="1193614406">
      <w:bodyDiv w:val="1"/>
      <w:marLeft w:val="0"/>
      <w:marRight w:val="0"/>
      <w:marTop w:val="0"/>
      <w:marBottom w:val="0"/>
      <w:divBdr>
        <w:top w:val="none" w:sz="0" w:space="0" w:color="auto"/>
        <w:left w:val="none" w:sz="0" w:space="0" w:color="auto"/>
        <w:bottom w:val="none" w:sz="0" w:space="0" w:color="auto"/>
        <w:right w:val="none" w:sz="0" w:space="0" w:color="auto"/>
      </w:divBdr>
    </w:div>
    <w:div w:id="1213812922">
      <w:bodyDiv w:val="1"/>
      <w:marLeft w:val="0"/>
      <w:marRight w:val="0"/>
      <w:marTop w:val="0"/>
      <w:marBottom w:val="0"/>
      <w:divBdr>
        <w:top w:val="none" w:sz="0" w:space="0" w:color="auto"/>
        <w:left w:val="none" w:sz="0" w:space="0" w:color="auto"/>
        <w:bottom w:val="none" w:sz="0" w:space="0" w:color="auto"/>
        <w:right w:val="none" w:sz="0" w:space="0" w:color="auto"/>
      </w:divBdr>
    </w:div>
    <w:div w:id="1220551241">
      <w:bodyDiv w:val="1"/>
      <w:marLeft w:val="0"/>
      <w:marRight w:val="0"/>
      <w:marTop w:val="0"/>
      <w:marBottom w:val="0"/>
      <w:divBdr>
        <w:top w:val="none" w:sz="0" w:space="0" w:color="auto"/>
        <w:left w:val="none" w:sz="0" w:space="0" w:color="auto"/>
        <w:bottom w:val="none" w:sz="0" w:space="0" w:color="auto"/>
        <w:right w:val="none" w:sz="0" w:space="0" w:color="auto"/>
      </w:divBdr>
    </w:div>
    <w:div w:id="1221791550">
      <w:bodyDiv w:val="1"/>
      <w:marLeft w:val="0"/>
      <w:marRight w:val="0"/>
      <w:marTop w:val="0"/>
      <w:marBottom w:val="0"/>
      <w:divBdr>
        <w:top w:val="none" w:sz="0" w:space="0" w:color="auto"/>
        <w:left w:val="none" w:sz="0" w:space="0" w:color="auto"/>
        <w:bottom w:val="none" w:sz="0" w:space="0" w:color="auto"/>
        <w:right w:val="none" w:sz="0" w:space="0" w:color="auto"/>
      </w:divBdr>
    </w:div>
    <w:div w:id="1240211268">
      <w:bodyDiv w:val="1"/>
      <w:marLeft w:val="0"/>
      <w:marRight w:val="0"/>
      <w:marTop w:val="0"/>
      <w:marBottom w:val="0"/>
      <w:divBdr>
        <w:top w:val="none" w:sz="0" w:space="0" w:color="auto"/>
        <w:left w:val="none" w:sz="0" w:space="0" w:color="auto"/>
        <w:bottom w:val="none" w:sz="0" w:space="0" w:color="auto"/>
        <w:right w:val="none" w:sz="0" w:space="0" w:color="auto"/>
      </w:divBdr>
    </w:div>
    <w:div w:id="1252929621">
      <w:bodyDiv w:val="1"/>
      <w:marLeft w:val="0"/>
      <w:marRight w:val="0"/>
      <w:marTop w:val="0"/>
      <w:marBottom w:val="0"/>
      <w:divBdr>
        <w:top w:val="none" w:sz="0" w:space="0" w:color="auto"/>
        <w:left w:val="none" w:sz="0" w:space="0" w:color="auto"/>
        <w:bottom w:val="none" w:sz="0" w:space="0" w:color="auto"/>
        <w:right w:val="none" w:sz="0" w:space="0" w:color="auto"/>
      </w:divBdr>
    </w:div>
    <w:div w:id="1285431696">
      <w:bodyDiv w:val="1"/>
      <w:marLeft w:val="0"/>
      <w:marRight w:val="0"/>
      <w:marTop w:val="0"/>
      <w:marBottom w:val="0"/>
      <w:divBdr>
        <w:top w:val="none" w:sz="0" w:space="0" w:color="auto"/>
        <w:left w:val="none" w:sz="0" w:space="0" w:color="auto"/>
        <w:bottom w:val="none" w:sz="0" w:space="0" w:color="auto"/>
        <w:right w:val="none" w:sz="0" w:space="0" w:color="auto"/>
      </w:divBdr>
    </w:div>
    <w:div w:id="1286735156">
      <w:bodyDiv w:val="1"/>
      <w:marLeft w:val="0"/>
      <w:marRight w:val="0"/>
      <w:marTop w:val="0"/>
      <w:marBottom w:val="0"/>
      <w:divBdr>
        <w:top w:val="none" w:sz="0" w:space="0" w:color="auto"/>
        <w:left w:val="none" w:sz="0" w:space="0" w:color="auto"/>
        <w:bottom w:val="none" w:sz="0" w:space="0" w:color="auto"/>
        <w:right w:val="none" w:sz="0" w:space="0" w:color="auto"/>
      </w:divBdr>
    </w:div>
    <w:div w:id="1295410727">
      <w:bodyDiv w:val="1"/>
      <w:marLeft w:val="0"/>
      <w:marRight w:val="0"/>
      <w:marTop w:val="0"/>
      <w:marBottom w:val="0"/>
      <w:divBdr>
        <w:top w:val="none" w:sz="0" w:space="0" w:color="auto"/>
        <w:left w:val="none" w:sz="0" w:space="0" w:color="auto"/>
        <w:bottom w:val="none" w:sz="0" w:space="0" w:color="auto"/>
        <w:right w:val="none" w:sz="0" w:space="0" w:color="auto"/>
      </w:divBdr>
    </w:div>
    <w:div w:id="1296176728">
      <w:bodyDiv w:val="1"/>
      <w:marLeft w:val="0"/>
      <w:marRight w:val="0"/>
      <w:marTop w:val="0"/>
      <w:marBottom w:val="0"/>
      <w:divBdr>
        <w:top w:val="none" w:sz="0" w:space="0" w:color="auto"/>
        <w:left w:val="none" w:sz="0" w:space="0" w:color="auto"/>
        <w:bottom w:val="none" w:sz="0" w:space="0" w:color="auto"/>
        <w:right w:val="none" w:sz="0" w:space="0" w:color="auto"/>
      </w:divBdr>
    </w:div>
    <w:div w:id="1307123321">
      <w:bodyDiv w:val="1"/>
      <w:marLeft w:val="0"/>
      <w:marRight w:val="0"/>
      <w:marTop w:val="0"/>
      <w:marBottom w:val="0"/>
      <w:divBdr>
        <w:top w:val="none" w:sz="0" w:space="0" w:color="auto"/>
        <w:left w:val="none" w:sz="0" w:space="0" w:color="auto"/>
        <w:bottom w:val="none" w:sz="0" w:space="0" w:color="auto"/>
        <w:right w:val="none" w:sz="0" w:space="0" w:color="auto"/>
      </w:divBdr>
    </w:div>
    <w:div w:id="1313295805">
      <w:bodyDiv w:val="1"/>
      <w:marLeft w:val="0"/>
      <w:marRight w:val="0"/>
      <w:marTop w:val="0"/>
      <w:marBottom w:val="0"/>
      <w:divBdr>
        <w:top w:val="none" w:sz="0" w:space="0" w:color="auto"/>
        <w:left w:val="none" w:sz="0" w:space="0" w:color="auto"/>
        <w:bottom w:val="none" w:sz="0" w:space="0" w:color="auto"/>
        <w:right w:val="none" w:sz="0" w:space="0" w:color="auto"/>
      </w:divBdr>
    </w:div>
    <w:div w:id="1315337646">
      <w:bodyDiv w:val="1"/>
      <w:marLeft w:val="0"/>
      <w:marRight w:val="0"/>
      <w:marTop w:val="0"/>
      <w:marBottom w:val="0"/>
      <w:divBdr>
        <w:top w:val="none" w:sz="0" w:space="0" w:color="auto"/>
        <w:left w:val="none" w:sz="0" w:space="0" w:color="auto"/>
        <w:bottom w:val="none" w:sz="0" w:space="0" w:color="auto"/>
        <w:right w:val="none" w:sz="0" w:space="0" w:color="auto"/>
      </w:divBdr>
    </w:div>
    <w:div w:id="1317345449">
      <w:bodyDiv w:val="1"/>
      <w:marLeft w:val="0"/>
      <w:marRight w:val="0"/>
      <w:marTop w:val="0"/>
      <w:marBottom w:val="0"/>
      <w:divBdr>
        <w:top w:val="none" w:sz="0" w:space="0" w:color="auto"/>
        <w:left w:val="none" w:sz="0" w:space="0" w:color="auto"/>
        <w:bottom w:val="none" w:sz="0" w:space="0" w:color="auto"/>
        <w:right w:val="none" w:sz="0" w:space="0" w:color="auto"/>
      </w:divBdr>
    </w:div>
    <w:div w:id="1336572882">
      <w:bodyDiv w:val="1"/>
      <w:marLeft w:val="0"/>
      <w:marRight w:val="0"/>
      <w:marTop w:val="0"/>
      <w:marBottom w:val="0"/>
      <w:divBdr>
        <w:top w:val="none" w:sz="0" w:space="0" w:color="auto"/>
        <w:left w:val="none" w:sz="0" w:space="0" w:color="auto"/>
        <w:bottom w:val="none" w:sz="0" w:space="0" w:color="auto"/>
        <w:right w:val="none" w:sz="0" w:space="0" w:color="auto"/>
      </w:divBdr>
    </w:div>
    <w:div w:id="1341547855">
      <w:bodyDiv w:val="1"/>
      <w:marLeft w:val="0"/>
      <w:marRight w:val="0"/>
      <w:marTop w:val="0"/>
      <w:marBottom w:val="0"/>
      <w:divBdr>
        <w:top w:val="none" w:sz="0" w:space="0" w:color="auto"/>
        <w:left w:val="none" w:sz="0" w:space="0" w:color="auto"/>
        <w:bottom w:val="none" w:sz="0" w:space="0" w:color="auto"/>
        <w:right w:val="none" w:sz="0" w:space="0" w:color="auto"/>
      </w:divBdr>
    </w:div>
    <w:div w:id="1362436773">
      <w:bodyDiv w:val="1"/>
      <w:marLeft w:val="0"/>
      <w:marRight w:val="0"/>
      <w:marTop w:val="0"/>
      <w:marBottom w:val="0"/>
      <w:divBdr>
        <w:top w:val="none" w:sz="0" w:space="0" w:color="auto"/>
        <w:left w:val="none" w:sz="0" w:space="0" w:color="auto"/>
        <w:bottom w:val="none" w:sz="0" w:space="0" w:color="auto"/>
        <w:right w:val="none" w:sz="0" w:space="0" w:color="auto"/>
      </w:divBdr>
    </w:div>
    <w:div w:id="1367606168">
      <w:bodyDiv w:val="1"/>
      <w:marLeft w:val="0"/>
      <w:marRight w:val="0"/>
      <w:marTop w:val="0"/>
      <w:marBottom w:val="0"/>
      <w:divBdr>
        <w:top w:val="none" w:sz="0" w:space="0" w:color="auto"/>
        <w:left w:val="none" w:sz="0" w:space="0" w:color="auto"/>
        <w:bottom w:val="none" w:sz="0" w:space="0" w:color="auto"/>
        <w:right w:val="none" w:sz="0" w:space="0" w:color="auto"/>
      </w:divBdr>
    </w:div>
    <w:div w:id="1380977004">
      <w:bodyDiv w:val="1"/>
      <w:marLeft w:val="0"/>
      <w:marRight w:val="0"/>
      <w:marTop w:val="0"/>
      <w:marBottom w:val="0"/>
      <w:divBdr>
        <w:top w:val="none" w:sz="0" w:space="0" w:color="auto"/>
        <w:left w:val="none" w:sz="0" w:space="0" w:color="auto"/>
        <w:bottom w:val="none" w:sz="0" w:space="0" w:color="auto"/>
        <w:right w:val="none" w:sz="0" w:space="0" w:color="auto"/>
      </w:divBdr>
    </w:div>
    <w:div w:id="1404835738">
      <w:bodyDiv w:val="1"/>
      <w:marLeft w:val="0"/>
      <w:marRight w:val="0"/>
      <w:marTop w:val="0"/>
      <w:marBottom w:val="0"/>
      <w:divBdr>
        <w:top w:val="none" w:sz="0" w:space="0" w:color="auto"/>
        <w:left w:val="none" w:sz="0" w:space="0" w:color="auto"/>
        <w:bottom w:val="none" w:sz="0" w:space="0" w:color="auto"/>
        <w:right w:val="none" w:sz="0" w:space="0" w:color="auto"/>
      </w:divBdr>
    </w:div>
    <w:div w:id="1410493600">
      <w:bodyDiv w:val="1"/>
      <w:marLeft w:val="0"/>
      <w:marRight w:val="0"/>
      <w:marTop w:val="0"/>
      <w:marBottom w:val="0"/>
      <w:divBdr>
        <w:top w:val="none" w:sz="0" w:space="0" w:color="auto"/>
        <w:left w:val="none" w:sz="0" w:space="0" w:color="auto"/>
        <w:bottom w:val="none" w:sz="0" w:space="0" w:color="auto"/>
        <w:right w:val="none" w:sz="0" w:space="0" w:color="auto"/>
      </w:divBdr>
    </w:div>
    <w:div w:id="1411390048">
      <w:bodyDiv w:val="1"/>
      <w:marLeft w:val="0"/>
      <w:marRight w:val="0"/>
      <w:marTop w:val="0"/>
      <w:marBottom w:val="0"/>
      <w:divBdr>
        <w:top w:val="none" w:sz="0" w:space="0" w:color="auto"/>
        <w:left w:val="none" w:sz="0" w:space="0" w:color="auto"/>
        <w:bottom w:val="none" w:sz="0" w:space="0" w:color="auto"/>
        <w:right w:val="none" w:sz="0" w:space="0" w:color="auto"/>
      </w:divBdr>
    </w:div>
    <w:div w:id="1423337485">
      <w:bodyDiv w:val="1"/>
      <w:marLeft w:val="0"/>
      <w:marRight w:val="0"/>
      <w:marTop w:val="0"/>
      <w:marBottom w:val="0"/>
      <w:divBdr>
        <w:top w:val="none" w:sz="0" w:space="0" w:color="auto"/>
        <w:left w:val="none" w:sz="0" w:space="0" w:color="auto"/>
        <w:bottom w:val="none" w:sz="0" w:space="0" w:color="auto"/>
        <w:right w:val="none" w:sz="0" w:space="0" w:color="auto"/>
      </w:divBdr>
    </w:div>
    <w:div w:id="1424259981">
      <w:bodyDiv w:val="1"/>
      <w:marLeft w:val="0"/>
      <w:marRight w:val="0"/>
      <w:marTop w:val="0"/>
      <w:marBottom w:val="0"/>
      <w:divBdr>
        <w:top w:val="none" w:sz="0" w:space="0" w:color="auto"/>
        <w:left w:val="none" w:sz="0" w:space="0" w:color="auto"/>
        <w:bottom w:val="none" w:sz="0" w:space="0" w:color="auto"/>
        <w:right w:val="none" w:sz="0" w:space="0" w:color="auto"/>
      </w:divBdr>
    </w:div>
    <w:div w:id="1426919105">
      <w:bodyDiv w:val="1"/>
      <w:marLeft w:val="0"/>
      <w:marRight w:val="0"/>
      <w:marTop w:val="0"/>
      <w:marBottom w:val="0"/>
      <w:divBdr>
        <w:top w:val="none" w:sz="0" w:space="0" w:color="auto"/>
        <w:left w:val="none" w:sz="0" w:space="0" w:color="auto"/>
        <w:bottom w:val="none" w:sz="0" w:space="0" w:color="auto"/>
        <w:right w:val="none" w:sz="0" w:space="0" w:color="auto"/>
      </w:divBdr>
    </w:div>
    <w:div w:id="1431119714">
      <w:bodyDiv w:val="1"/>
      <w:marLeft w:val="0"/>
      <w:marRight w:val="0"/>
      <w:marTop w:val="0"/>
      <w:marBottom w:val="0"/>
      <w:divBdr>
        <w:top w:val="none" w:sz="0" w:space="0" w:color="auto"/>
        <w:left w:val="none" w:sz="0" w:space="0" w:color="auto"/>
        <w:bottom w:val="none" w:sz="0" w:space="0" w:color="auto"/>
        <w:right w:val="none" w:sz="0" w:space="0" w:color="auto"/>
      </w:divBdr>
    </w:div>
    <w:div w:id="1444379860">
      <w:bodyDiv w:val="1"/>
      <w:marLeft w:val="0"/>
      <w:marRight w:val="0"/>
      <w:marTop w:val="0"/>
      <w:marBottom w:val="0"/>
      <w:divBdr>
        <w:top w:val="none" w:sz="0" w:space="0" w:color="auto"/>
        <w:left w:val="none" w:sz="0" w:space="0" w:color="auto"/>
        <w:bottom w:val="none" w:sz="0" w:space="0" w:color="auto"/>
        <w:right w:val="none" w:sz="0" w:space="0" w:color="auto"/>
      </w:divBdr>
    </w:div>
    <w:div w:id="1444957324">
      <w:bodyDiv w:val="1"/>
      <w:marLeft w:val="0"/>
      <w:marRight w:val="0"/>
      <w:marTop w:val="0"/>
      <w:marBottom w:val="0"/>
      <w:divBdr>
        <w:top w:val="none" w:sz="0" w:space="0" w:color="auto"/>
        <w:left w:val="none" w:sz="0" w:space="0" w:color="auto"/>
        <w:bottom w:val="none" w:sz="0" w:space="0" w:color="auto"/>
        <w:right w:val="none" w:sz="0" w:space="0" w:color="auto"/>
      </w:divBdr>
    </w:div>
    <w:div w:id="1446657952">
      <w:bodyDiv w:val="1"/>
      <w:marLeft w:val="0"/>
      <w:marRight w:val="0"/>
      <w:marTop w:val="0"/>
      <w:marBottom w:val="0"/>
      <w:divBdr>
        <w:top w:val="none" w:sz="0" w:space="0" w:color="auto"/>
        <w:left w:val="none" w:sz="0" w:space="0" w:color="auto"/>
        <w:bottom w:val="none" w:sz="0" w:space="0" w:color="auto"/>
        <w:right w:val="none" w:sz="0" w:space="0" w:color="auto"/>
      </w:divBdr>
    </w:div>
    <w:div w:id="1447503303">
      <w:bodyDiv w:val="1"/>
      <w:marLeft w:val="0"/>
      <w:marRight w:val="0"/>
      <w:marTop w:val="0"/>
      <w:marBottom w:val="0"/>
      <w:divBdr>
        <w:top w:val="none" w:sz="0" w:space="0" w:color="auto"/>
        <w:left w:val="none" w:sz="0" w:space="0" w:color="auto"/>
        <w:bottom w:val="none" w:sz="0" w:space="0" w:color="auto"/>
        <w:right w:val="none" w:sz="0" w:space="0" w:color="auto"/>
      </w:divBdr>
    </w:div>
    <w:div w:id="1460491147">
      <w:bodyDiv w:val="1"/>
      <w:marLeft w:val="0"/>
      <w:marRight w:val="0"/>
      <w:marTop w:val="0"/>
      <w:marBottom w:val="0"/>
      <w:divBdr>
        <w:top w:val="none" w:sz="0" w:space="0" w:color="auto"/>
        <w:left w:val="none" w:sz="0" w:space="0" w:color="auto"/>
        <w:bottom w:val="none" w:sz="0" w:space="0" w:color="auto"/>
        <w:right w:val="none" w:sz="0" w:space="0" w:color="auto"/>
      </w:divBdr>
    </w:div>
    <w:div w:id="1463689841">
      <w:bodyDiv w:val="1"/>
      <w:marLeft w:val="0"/>
      <w:marRight w:val="0"/>
      <w:marTop w:val="0"/>
      <w:marBottom w:val="0"/>
      <w:divBdr>
        <w:top w:val="none" w:sz="0" w:space="0" w:color="auto"/>
        <w:left w:val="none" w:sz="0" w:space="0" w:color="auto"/>
        <w:bottom w:val="none" w:sz="0" w:space="0" w:color="auto"/>
        <w:right w:val="none" w:sz="0" w:space="0" w:color="auto"/>
      </w:divBdr>
    </w:div>
    <w:div w:id="1467355527">
      <w:bodyDiv w:val="1"/>
      <w:marLeft w:val="0"/>
      <w:marRight w:val="0"/>
      <w:marTop w:val="0"/>
      <w:marBottom w:val="0"/>
      <w:divBdr>
        <w:top w:val="none" w:sz="0" w:space="0" w:color="auto"/>
        <w:left w:val="none" w:sz="0" w:space="0" w:color="auto"/>
        <w:bottom w:val="none" w:sz="0" w:space="0" w:color="auto"/>
        <w:right w:val="none" w:sz="0" w:space="0" w:color="auto"/>
      </w:divBdr>
    </w:div>
    <w:div w:id="1490097488">
      <w:bodyDiv w:val="1"/>
      <w:marLeft w:val="0"/>
      <w:marRight w:val="0"/>
      <w:marTop w:val="0"/>
      <w:marBottom w:val="0"/>
      <w:divBdr>
        <w:top w:val="none" w:sz="0" w:space="0" w:color="auto"/>
        <w:left w:val="none" w:sz="0" w:space="0" w:color="auto"/>
        <w:bottom w:val="none" w:sz="0" w:space="0" w:color="auto"/>
        <w:right w:val="none" w:sz="0" w:space="0" w:color="auto"/>
      </w:divBdr>
    </w:div>
    <w:div w:id="1490246956">
      <w:bodyDiv w:val="1"/>
      <w:marLeft w:val="0"/>
      <w:marRight w:val="0"/>
      <w:marTop w:val="0"/>
      <w:marBottom w:val="0"/>
      <w:divBdr>
        <w:top w:val="none" w:sz="0" w:space="0" w:color="auto"/>
        <w:left w:val="none" w:sz="0" w:space="0" w:color="auto"/>
        <w:bottom w:val="none" w:sz="0" w:space="0" w:color="auto"/>
        <w:right w:val="none" w:sz="0" w:space="0" w:color="auto"/>
      </w:divBdr>
    </w:div>
    <w:div w:id="1526941220">
      <w:bodyDiv w:val="1"/>
      <w:marLeft w:val="0"/>
      <w:marRight w:val="0"/>
      <w:marTop w:val="0"/>
      <w:marBottom w:val="0"/>
      <w:divBdr>
        <w:top w:val="none" w:sz="0" w:space="0" w:color="auto"/>
        <w:left w:val="none" w:sz="0" w:space="0" w:color="auto"/>
        <w:bottom w:val="none" w:sz="0" w:space="0" w:color="auto"/>
        <w:right w:val="none" w:sz="0" w:space="0" w:color="auto"/>
      </w:divBdr>
    </w:div>
    <w:div w:id="1528367401">
      <w:bodyDiv w:val="1"/>
      <w:marLeft w:val="0"/>
      <w:marRight w:val="0"/>
      <w:marTop w:val="0"/>
      <w:marBottom w:val="0"/>
      <w:divBdr>
        <w:top w:val="none" w:sz="0" w:space="0" w:color="auto"/>
        <w:left w:val="none" w:sz="0" w:space="0" w:color="auto"/>
        <w:bottom w:val="none" w:sz="0" w:space="0" w:color="auto"/>
        <w:right w:val="none" w:sz="0" w:space="0" w:color="auto"/>
      </w:divBdr>
    </w:div>
    <w:div w:id="1529105891">
      <w:bodyDiv w:val="1"/>
      <w:marLeft w:val="0"/>
      <w:marRight w:val="0"/>
      <w:marTop w:val="0"/>
      <w:marBottom w:val="0"/>
      <w:divBdr>
        <w:top w:val="none" w:sz="0" w:space="0" w:color="auto"/>
        <w:left w:val="none" w:sz="0" w:space="0" w:color="auto"/>
        <w:bottom w:val="none" w:sz="0" w:space="0" w:color="auto"/>
        <w:right w:val="none" w:sz="0" w:space="0" w:color="auto"/>
      </w:divBdr>
    </w:div>
    <w:div w:id="1534003135">
      <w:bodyDiv w:val="1"/>
      <w:marLeft w:val="0"/>
      <w:marRight w:val="0"/>
      <w:marTop w:val="0"/>
      <w:marBottom w:val="0"/>
      <w:divBdr>
        <w:top w:val="none" w:sz="0" w:space="0" w:color="auto"/>
        <w:left w:val="none" w:sz="0" w:space="0" w:color="auto"/>
        <w:bottom w:val="none" w:sz="0" w:space="0" w:color="auto"/>
        <w:right w:val="none" w:sz="0" w:space="0" w:color="auto"/>
      </w:divBdr>
    </w:div>
    <w:div w:id="1537738619">
      <w:bodyDiv w:val="1"/>
      <w:marLeft w:val="0"/>
      <w:marRight w:val="0"/>
      <w:marTop w:val="0"/>
      <w:marBottom w:val="0"/>
      <w:divBdr>
        <w:top w:val="none" w:sz="0" w:space="0" w:color="auto"/>
        <w:left w:val="none" w:sz="0" w:space="0" w:color="auto"/>
        <w:bottom w:val="none" w:sz="0" w:space="0" w:color="auto"/>
        <w:right w:val="none" w:sz="0" w:space="0" w:color="auto"/>
      </w:divBdr>
    </w:div>
    <w:div w:id="1540897274">
      <w:bodyDiv w:val="1"/>
      <w:marLeft w:val="0"/>
      <w:marRight w:val="0"/>
      <w:marTop w:val="0"/>
      <w:marBottom w:val="0"/>
      <w:divBdr>
        <w:top w:val="none" w:sz="0" w:space="0" w:color="auto"/>
        <w:left w:val="none" w:sz="0" w:space="0" w:color="auto"/>
        <w:bottom w:val="none" w:sz="0" w:space="0" w:color="auto"/>
        <w:right w:val="none" w:sz="0" w:space="0" w:color="auto"/>
      </w:divBdr>
    </w:div>
    <w:div w:id="1545632045">
      <w:bodyDiv w:val="1"/>
      <w:marLeft w:val="0"/>
      <w:marRight w:val="0"/>
      <w:marTop w:val="0"/>
      <w:marBottom w:val="0"/>
      <w:divBdr>
        <w:top w:val="none" w:sz="0" w:space="0" w:color="auto"/>
        <w:left w:val="none" w:sz="0" w:space="0" w:color="auto"/>
        <w:bottom w:val="none" w:sz="0" w:space="0" w:color="auto"/>
        <w:right w:val="none" w:sz="0" w:space="0" w:color="auto"/>
      </w:divBdr>
    </w:div>
    <w:div w:id="1550533581">
      <w:bodyDiv w:val="1"/>
      <w:marLeft w:val="0"/>
      <w:marRight w:val="0"/>
      <w:marTop w:val="0"/>
      <w:marBottom w:val="0"/>
      <w:divBdr>
        <w:top w:val="none" w:sz="0" w:space="0" w:color="auto"/>
        <w:left w:val="none" w:sz="0" w:space="0" w:color="auto"/>
        <w:bottom w:val="none" w:sz="0" w:space="0" w:color="auto"/>
        <w:right w:val="none" w:sz="0" w:space="0" w:color="auto"/>
      </w:divBdr>
    </w:div>
    <w:div w:id="1570114651">
      <w:bodyDiv w:val="1"/>
      <w:marLeft w:val="0"/>
      <w:marRight w:val="0"/>
      <w:marTop w:val="0"/>
      <w:marBottom w:val="0"/>
      <w:divBdr>
        <w:top w:val="none" w:sz="0" w:space="0" w:color="auto"/>
        <w:left w:val="none" w:sz="0" w:space="0" w:color="auto"/>
        <w:bottom w:val="none" w:sz="0" w:space="0" w:color="auto"/>
        <w:right w:val="none" w:sz="0" w:space="0" w:color="auto"/>
      </w:divBdr>
    </w:div>
    <w:div w:id="1578517773">
      <w:bodyDiv w:val="1"/>
      <w:marLeft w:val="0"/>
      <w:marRight w:val="0"/>
      <w:marTop w:val="0"/>
      <w:marBottom w:val="0"/>
      <w:divBdr>
        <w:top w:val="none" w:sz="0" w:space="0" w:color="auto"/>
        <w:left w:val="none" w:sz="0" w:space="0" w:color="auto"/>
        <w:bottom w:val="none" w:sz="0" w:space="0" w:color="auto"/>
        <w:right w:val="none" w:sz="0" w:space="0" w:color="auto"/>
      </w:divBdr>
    </w:div>
    <w:div w:id="1589193978">
      <w:bodyDiv w:val="1"/>
      <w:marLeft w:val="0"/>
      <w:marRight w:val="0"/>
      <w:marTop w:val="0"/>
      <w:marBottom w:val="0"/>
      <w:divBdr>
        <w:top w:val="none" w:sz="0" w:space="0" w:color="auto"/>
        <w:left w:val="none" w:sz="0" w:space="0" w:color="auto"/>
        <w:bottom w:val="none" w:sz="0" w:space="0" w:color="auto"/>
        <w:right w:val="none" w:sz="0" w:space="0" w:color="auto"/>
      </w:divBdr>
    </w:div>
    <w:div w:id="1590506418">
      <w:bodyDiv w:val="1"/>
      <w:marLeft w:val="0"/>
      <w:marRight w:val="0"/>
      <w:marTop w:val="0"/>
      <w:marBottom w:val="0"/>
      <w:divBdr>
        <w:top w:val="none" w:sz="0" w:space="0" w:color="auto"/>
        <w:left w:val="none" w:sz="0" w:space="0" w:color="auto"/>
        <w:bottom w:val="none" w:sz="0" w:space="0" w:color="auto"/>
        <w:right w:val="none" w:sz="0" w:space="0" w:color="auto"/>
      </w:divBdr>
    </w:div>
    <w:div w:id="1607469918">
      <w:bodyDiv w:val="1"/>
      <w:marLeft w:val="0"/>
      <w:marRight w:val="0"/>
      <w:marTop w:val="0"/>
      <w:marBottom w:val="0"/>
      <w:divBdr>
        <w:top w:val="none" w:sz="0" w:space="0" w:color="auto"/>
        <w:left w:val="none" w:sz="0" w:space="0" w:color="auto"/>
        <w:bottom w:val="none" w:sz="0" w:space="0" w:color="auto"/>
        <w:right w:val="none" w:sz="0" w:space="0" w:color="auto"/>
      </w:divBdr>
    </w:div>
    <w:div w:id="1618751155">
      <w:bodyDiv w:val="1"/>
      <w:marLeft w:val="0"/>
      <w:marRight w:val="0"/>
      <w:marTop w:val="0"/>
      <w:marBottom w:val="0"/>
      <w:divBdr>
        <w:top w:val="none" w:sz="0" w:space="0" w:color="auto"/>
        <w:left w:val="none" w:sz="0" w:space="0" w:color="auto"/>
        <w:bottom w:val="none" w:sz="0" w:space="0" w:color="auto"/>
        <w:right w:val="none" w:sz="0" w:space="0" w:color="auto"/>
      </w:divBdr>
    </w:div>
    <w:div w:id="1622421975">
      <w:bodyDiv w:val="1"/>
      <w:marLeft w:val="0"/>
      <w:marRight w:val="0"/>
      <w:marTop w:val="0"/>
      <w:marBottom w:val="0"/>
      <w:divBdr>
        <w:top w:val="none" w:sz="0" w:space="0" w:color="auto"/>
        <w:left w:val="none" w:sz="0" w:space="0" w:color="auto"/>
        <w:bottom w:val="none" w:sz="0" w:space="0" w:color="auto"/>
        <w:right w:val="none" w:sz="0" w:space="0" w:color="auto"/>
      </w:divBdr>
    </w:div>
    <w:div w:id="1634291900">
      <w:bodyDiv w:val="1"/>
      <w:marLeft w:val="0"/>
      <w:marRight w:val="0"/>
      <w:marTop w:val="0"/>
      <w:marBottom w:val="0"/>
      <w:divBdr>
        <w:top w:val="none" w:sz="0" w:space="0" w:color="auto"/>
        <w:left w:val="none" w:sz="0" w:space="0" w:color="auto"/>
        <w:bottom w:val="none" w:sz="0" w:space="0" w:color="auto"/>
        <w:right w:val="none" w:sz="0" w:space="0" w:color="auto"/>
      </w:divBdr>
    </w:div>
    <w:div w:id="1641493343">
      <w:bodyDiv w:val="1"/>
      <w:marLeft w:val="0"/>
      <w:marRight w:val="0"/>
      <w:marTop w:val="0"/>
      <w:marBottom w:val="0"/>
      <w:divBdr>
        <w:top w:val="none" w:sz="0" w:space="0" w:color="auto"/>
        <w:left w:val="none" w:sz="0" w:space="0" w:color="auto"/>
        <w:bottom w:val="none" w:sz="0" w:space="0" w:color="auto"/>
        <w:right w:val="none" w:sz="0" w:space="0" w:color="auto"/>
      </w:divBdr>
    </w:div>
    <w:div w:id="1644264733">
      <w:bodyDiv w:val="1"/>
      <w:marLeft w:val="0"/>
      <w:marRight w:val="0"/>
      <w:marTop w:val="0"/>
      <w:marBottom w:val="0"/>
      <w:divBdr>
        <w:top w:val="none" w:sz="0" w:space="0" w:color="auto"/>
        <w:left w:val="none" w:sz="0" w:space="0" w:color="auto"/>
        <w:bottom w:val="none" w:sz="0" w:space="0" w:color="auto"/>
        <w:right w:val="none" w:sz="0" w:space="0" w:color="auto"/>
      </w:divBdr>
    </w:div>
    <w:div w:id="1646930721">
      <w:bodyDiv w:val="1"/>
      <w:marLeft w:val="0"/>
      <w:marRight w:val="0"/>
      <w:marTop w:val="0"/>
      <w:marBottom w:val="0"/>
      <w:divBdr>
        <w:top w:val="none" w:sz="0" w:space="0" w:color="auto"/>
        <w:left w:val="none" w:sz="0" w:space="0" w:color="auto"/>
        <w:bottom w:val="none" w:sz="0" w:space="0" w:color="auto"/>
        <w:right w:val="none" w:sz="0" w:space="0" w:color="auto"/>
      </w:divBdr>
    </w:div>
    <w:div w:id="1672172369">
      <w:bodyDiv w:val="1"/>
      <w:marLeft w:val="0"/>
      <w:marRight w:val="0"/>
      <w:marTop w:val="0"/>
      <w:marBottom w:val="0"/>
      <w:divBdr>
        <w:top w:val="none" w:sz="0" w:space="0" w:color="auto"/>
        <w:left w:val="none" w:sz="0" w:space="0" w:color="auto"/>
        <w:bottom w:val="none" w:sz="0" w:space="0" w:color="auto"/>
        <w:right w:val="none" w:sz="0" w:space="0" w:color="auto"/>
      </w:divBdr>
    </w:div>
    <w:div w:id="1676690084">
      <w:bodyDiv w:val="1"/>
      <w:marLeft w:val="0"/>
      <w:marRight w:val="0"/>
      <w:marTop w:val="0"/>
      <w:marBottom w:val="0"/>
      <w:divBdr>
        <w:top w:val="none" w:sz="0" w:space="0" w:color="auto"/>
        <w:left w:val="none" w:sz="0" w:space="0" w:color="auto"/>
        <w:bottom w:val="none" w:sz="0" w:space="0" w:color="auto"/>
        <w:right w:val="none" w:sz="0" w:space="0" w:color="auto"/>
      </w:divBdr>
    </w:div>
    <w:div w:id="1721128472">
      <w:bodyDiv w:val="1"/>
      <w:marLeft w:val="0"/>
      <w:marRight w:val="0"/>
      <w:marTop w:val="0"/>
      <w:marBottom w:val="0"/>
      <w:divBdr>
        <w:top w:val="none" w:sz="0" w:space="0" w:color="auto"/>
        <w:left w:val="none" w:sz="0" w:space="0" w:color="auto"/>
        <w:bottom w:val="none" w:sz="0" w:space="0" w:color="auto"/>
        <w:right w:val="none" w:sz="0" w:space="0" w:color="auto"/>
      </w:divBdr>
    </w:div>
    <w:div w:id="1731801095">
      <w:bodyDiv w:val="1"/>
      <w:marLeft w:val="0"/>
      <w:marRight w:val="0"/>
      <w:marTop w:val="0"/>
      <w:marBottom w:val="0"/>
      <w:divBdr>
        <w:top w:val="none" w:sz="0" w:space="0" w:color="auto"/>
        <w:left w:val="none" w:sz="0" w:space="0" w:color="auto"/>
        <w:bottom w:val="none" w:sz="0" w:space="0" w:color="auto"/>
        <w:right w:val="none" w:sz="0" w:space="0" w:color="auto"/>
      </w:divBdr>
    </w:div>
    <w:div w:id="1737892079">
      <w:bodyDiv w:val="1"/>
      <w:marLeft w:val="0"/>
      <w:marRight w:val="0"/>
      <w:marTop w:val="0"/>
      <w:marBottom w:val="0"/>
      <w:divBdr>
        <w:top w:val="none" w:sz="0" w:space="0" w:color="auto"/>
        <w:left w:val="none" w:sz="0" w:space="0" w:color="auto"/>
        <w:bottom w:val="none" w:sz="0" w:space="0" w:color="auto"/>
        <w:right w:val="none" w:sz="0" w:space="0" w:color="auto"/>
      </w:divBdr>
    </w:div>
    <w:div w:id="1750037451">
      <w:bodyDiv w:val="1"/>
      <w:marLeft w:val="0"/>
      <w:marRight w:val="0"/>
      <w:marTop w:val="0"/>
      <w:marBottom w:val="0"/>
      <w:divBdr>
        <w:top w:val="none" w:sz="0" w:space="0" w:color="auto"/>
        <w:left w:val="none" w:sz="0" w:space="0" w:color="auto"/>
        <w:bottom w:val="none" w:sz="0" w:space="0" w:color="auto"/>
        <w:right w:val="none" w:sz="0" w:space="0" w:color="auto"/>
      </w:divBdr>
    </w:div>
    <w:div w:id="1769155333">
      <w:bodyDiv w:val="1"/>
      <w:marLeft w:val="0"/>
      <w:marRight w:val="0"/>
      <w:marTop w:val="0"/>
      <w:marBottom w:val="0"/>
      <w:divBdr>
        <w:top w:val="none" w:sz="0" w:space="0" w:color="auto"/>
        <w:left w:val="none" w:sz="0" w:space="0" w:color="auto"/>
        <w:bottom w:val="none" w:sz="0" w:space="0" w:color="auto"/>
        <w:right w:val="none" w:sz="0" w:space="0" w:color="auto"/>
      </w:divBdr>
    </w:div>
    <w:div w:id="1769958889">
      <w:bodyDiv w:val="1"/>
      <w:marLeft w:val="0"/>
      <w:marRight w:val="0"/>
      <w:marTop w:val="0"/>
      <w:marBottom w:val="0"/>
      <w:divBdr>
        <w:top w:val="none" w:sz="0" w:space="0" w:color="auto"/>
        <w:left w:val="none" w:sz="0" w:space="0" w:color="auto"/>
        <w:bottom w:val="none" w:sz="0" w:space="0" w:color="auto"/>
        <w:right w:val="none" w:sz="0" w:space="0" w:color="auto"/>
      </w:divBdr>
    </w:div>
    <w:div w:id="1782609001">
      <w:bodyDiv w:val="1"/>
      <w:marLeft w:val="0"/>
      <w:marRight w:val="0"/>
      <w:marTop w:val="0"/>
      <w:marBottom w:val="0"/>
      <w:divBdr>
        <w:top w:val="none" w:sz="0" w:space="0" w:color="auto"/>
        <w:left w:val="none" w:sz="0" w:space="0" w:color="auto"/>
        <w:bottom w:val="none" w:sz="0" w:space="0" w:color="auto"/>
        <w:right w:val="none" w:sz="0" w:space="0" w:color="auto"/>
      </w:divBdr>
    </w:div>
    <w:div w:id="1787507899">
      <w:bodyDiv w:val="1"/>
      <w:marLeft w:val="0"/>
      <w:marRight w:val="0"/>
      <w:marTop w:val="0"/>
      <w:marBottom w:val="0"/>
      <w:divBdr>
        <w:top w:val="none" w:sz="0" w:space="0" w:color="auto"/>
        <w:left w:val="none" w:sz="0" w:space="0" w:color="auto"/>
        <w:bottom w:val="none" w:sz="0" w:space="0" w:color="auto"/>
        <w:right w:val="none" w:sz="0" w:space="0" w:color="auto"/>
      </w:divBdr>
    </w:div>
    <w:div w:id="1796292359">
      <w:bodyDiv w:val="1"/>
      <w:marLeft w:val="0"/>
      <w:marRight w:val="0"/>
      <w:marTop w:val="0"/>
      <w:marBottom w:val="0"/>
      <w:divBdr>
        <w:top w:val="none" w:sz="0" w:space="0" w:color="auto"/>
        <w:left w:val="none" w:sz="0" w:space="0" w:color="auto"/>
        <w:bottom w:val="none" w:sz="0" w:space="0" w:color="auto"/>
        <w:right w:val="none" w:sz="0" w:space="0" w:color="auto"/>
      </w:divBdr>
    </w:div>
    <w:div w:id="1811705471">
      <w:bodyDiv w:val="1"/>
      <w:marLeft w:val="0"/>
      <w:marRight w:val="0"/>
      <w:marTop w:val="0"/>
      <w:marBottom w:val="0"/>
      <w:divBdr>
        <w:top w:val="none" w:sz="0" w:space="0" w:color="auto"/>
        <w:left w:val="none" w:sz="0" w:space="0" w:color="auto"/>
        <w:bottom w:val="none" w:sz="0" w:space="0" w:color="auto"/>
        <w:right w:val="none" w:sz="0" w:space="0" w:color="auto"/>
      </w:divBdr>
    </w:div>
    <w:div w:id="1814984441">
      <w:bodyDiv w:val="1"/>
      <w:marLeft w:val="0"/>
      <w:marRight w:val="0"/>
      <w:marTop w:val="0"/>
      <w:marBottom w:val="0"/>
      <w:divBdr>
        <w:top w:val="none" w:sz="0" w:space="0" w:color="auto"/>
        <w:left w:val="none" w:sz="0" w:space="0" w:color="auto"/>
        <w:bottom w:val="none" w:sz="0" w:space="0" w:color="auto"/>
        <w:right w:val="none" w:sz="0" w:space="0" w:color="auto"/>
      </w:divBdr>
    </w:div>
    <w:div w:id="1824810283">
      <w:bodyDiv w:val="1"/>
      <w:marLeft w:val="0"/>
      <w:marRight w:val="0"/>
      <w:marTop w:val="0"/>
      <w:marBottom w:val="0"/>
      <w:divBdr>
        <w:top w:val="none" w:sz="0" w:space="0" w:color="auto"/>
        <w:left w:val="none" w:sz="0" w:space="0" w:color="auto"/>
        <w:bottom w:val="none" w:sz="0" w:space="0" w:color="auto"/>
        <w:right w:val="none" w:sz="0" w:space="0" w:color="auto"/>
      </w:divBdr>
    </w:div>
    <w:div w:id="1826582877">
      <w:bodyDiv w:val="1"/>
      <w:marLeft w:val="0"/>
      <w:marRight w:val="0"/>
      <w:marTop w:val="0"/>
      <w:marBottom w:val="0"/>
      <w:divBdr>
        <w:top w:val="none" w:sz="0" w:space="0" w:color="auto"/>
        <w:left w:val="none" w:sz="0" w:space="0" w:color="auto"/>
        <w:bottom w:val="none" w:sz="0" w:space="0" w:color="auto"/>
        <w:right w:val="none" w:sz="0" w:space="0" w:color="auto"/>
      </w:divBdr>
    </w:div>
    <w:div w:id="1830095249">
      <w:bodyDiv w:val="1"/>
      <w:marLeft w:val="0"/>
      <w:marRight w:val="0"/>
      <w:marTop w:val="0"/>
      <w:marBottom w:val="0"/>
      <w:divBdr>
        <w:top w:val="none" w:sz="0" w:space="0" w:color="auto"/>
        <w:left w:val="none" w:sz="0" w:space="0" w:color="auto"/>
        <w:bottom w:val="none" w:sz="0" w:space="0" w:color="auto"/>
        <w:right w:val="none" w:sz="0" w:space="0" w:color="auto"/>
      </w:divBdr>
    </w:div>
    <w:div w:id="1831676352">
      <w:bodyDiv w:val="1"/>
      <w:marLeft w:val="0"/>
      <w:marRight w:val="0"/>
      <w:marTop w:val="0"/>
      <w:marBottom w:val="0"/>
      <w:divBdr>
        <w:top w:val="none" w:sz="0" w:space="0" w:color="auto"/>
        <w:left w:val="none" w:sz="0" w:space="0" w:color="auto"/>
        <w:bottom w:val="none" w:sz="0" w:space="0" w:color="auto"/>
        <w:right w:val="none" w:sz="0" w:space="0" w:color="auto"/>
      </w:divBdr>
    </w:div>
    <w:div w:id="1833523737">
      <w:bodyDiv w:val="1"/>
      <w:marLeft w:val="0"/>
      <w:marRight w:val="0"/>
      <w:marTop w:val="0"/>
      <w:marBottom w:val="0"/>
      <w:divBdr>
        <w:top w:val="none" w:sz="0" w:space="0" w:color="auto"/>
        <w:left w:val="none" w:sz="0" w:space="0" w:color="auto"/>
        <w:bottom w:val="none" w:sz="0" w:space="0" w:color="auto"/>
        <w:right w:val="none" w:sz="0" w:space="0" w:color="auto"/>
      </w:divBdr>
    </w:div>
    <w:div w:id="1838692967">
      <w:bodyDiv w:val="1"/>
      <w:marLeft w:val="0"/>
      <w:marRight w:val="0"/>
      <w:marTop w:val="0"/>
      <w:marBottom w:val="0"/>
      <w:divBdr>
        <w:top w:val="none" w:sz="0" w:space="0" w:color="auto"/>
        <w:left w:val="none" w:sz="0" w:space="0" w:color="auto"/>
        <w:bottom w:val="none" w:sz="0" w:space="0" w:color="auto"/>
        <w:right w:val="none" w:sz="0" w:space="0" w:color="auto"/>
      </w:divBdr>
    </w:div>
    <w:div w:id="1850244989">
      <w:bodyDiv w:val="1"/>
      <w:marLeft w:val="0"/>
      <w:marRight w:val="0"/>
      <w:marTop w:val="0"/>
      <w:marBottom w:val="0"/>
      <w:divBdr>
        <w:top w:val="none" w:sz="0" w:space="0" w:color="auto"/>
        <w:left w:val="none" w:sz="0" w:space="0" w:color="auto"/>
        <w:bottom w:val="none" w:sz="0" w:space="0" w:color="auto"/>
        <w:right w:val="none" w:sz="0" w:space="0" w:color="auto"/>
      </w:divBdr>
    </w:div>
    <w:div w:id="1854220188">
      <w:bodyDiv w:val="1"/>
      <w:marLeft w:val="0"/>
      <w:marRight w:val="0"/>
      <w:marTop w:val="0"/>
      <w:marBottom w:val="0"/>
      <w:divBdr>
        <w:top w:val="none" w:sz="0" w:space="0" w:color="auto"/>
        <w:left w:val="none" w:sz="0" w:space="0" w:color="auto"/>
        <w:bottom w:val="none" w:sz="0" w:space="0" w:color="auto"/>
        <w:right w:val="none" w:sz="0" w:space="0" w:color="auto"/>
      </w:divBdr>
    </w:div>
    <w:div w:id="1865438971">
      <w:bodyDiv w:val="1"/>
      <w:marLeft w:val="0"/>
      <w:marRight w:val="0"/>
      <w:marTop w:val="0"/>
      <w:marBottom w:val="0"/>
      <w:divBdr>
        <w:top w:val="none" w:sz="0" w:space="0" w:color="auto"/>
        <w:left w:val="none" w:sz="0" w:space="0" w:color="auto"/>
        <w:bottom w:val="none" w:sz="0" w:space="0" w:color="auto"/>
        <w:right w:val="none" w:sz="0" w:space="0" w:color="auto"/>
      </w:divBdr>
    </w:div>
    <w:div w:id="1877498784">
      <w:bodyDiv w:val="1"/>
      <w:marLeft w:val="0"/>
      <w:marRight w:val="0"/>
      <w:marTop w:val="0"/>
      <w:marBottom w:val="0"/>
      <w:divBdr>
        <w:top w:val="none" w:sz="0" w:space="0" w:color="auto"/>
        <w:left w:val="none" w:sz="0" w:space="0" w:color="auto"/>
        <w:bottom w:val="none" w:sz="0" w:space="0" w:color="auto"/>
        <w:right w:val="none" w:sz="0" w:space="0" w:color="auto"/>
      </w:divBdr>
    </w:div>
    <w:div w:id="1897156210">
      <w:bodyDiv w:val="1"/>
      <w:marLeft w:val="0"/>
      <w:marRight w:val="0"/>
      <w:marTop w:val="0"/>
      <w:marBottom w:val="0"/>
      <w:divBdr>
        <w:top w:val="none" w:sz="0" w:space="0" w:color="auto"/>
        <w:left w:val="none" w:sz="0" w:space="0" w:color="auto"/>
        <w:bottom w:val="none" w:sz="0" w:space="0" w:color="auto"/>
        <w:right w:val="none" w:sz="0" w:space="0" w:color="auto"/>
      </w:divBdr>
    </w:div>
    <w:div w:id="1924294156">
      <w:bodyDiv w:val="1"/>
      <w:marLeft w:val="0"/>
      <w:marRight w:val="0"/>
      <w:marTop w:val="0"/>
      <w:marBottom w:val="0"/>
      <w:divBdr>
        <w:top w:val="none" w:sz="0" w:space="0" w:color="auto"/>
        <w:left w:val="none" w:sz="0" w:space="0" w:color="auto"/>
        <w:bottom w:val="none" w:sz="0" w:space="0" w:color="auto"/>
        <w:right w:val="none" w:sz="0" w:space="0" w:color="auto"/>
      </w:divBdr>
    </w:div>
    <w:div w:id="1938514661">
      <w:bodyDiv w:val="1"/>
      <w:marLeft w:val="0"/>
      <w:marRight w:val="0"/>
      <w:marTop w:val="0"/>
      <w:marBottom w:val="0"/>
      <w:divBdr>
        <w:top w:val="none" w:sz="0" w:space="0" w:color="auto"/>
        <w:left w:val="none" w:sz="0" w:space="0" w:color="auto"/>
        <w:bottom w:val="none" w:sz="0" w:space="0" w:color="auto"/>
        <w:right w:val="none" w:sz="0" w:space="0" w:color="auto"/>
      </w:divBdr>
    </w:div>
    <w:div w:id="1939673041">
      <w:bodyDiv w:val="1"/>
      <w:marLeft w:val="0"/>
      <w:marRight w:val="0"/>
      <w:marTop w:val="0"/>
      <w:marBottom w:val="0"/>
      <w:divBdr>
        <w:top w:val="none" w:sz="0" w:space="0" w:color="auto"/>
        <w:left w:val="none" w:sz="0" w:space="0" w:color="auto"/>
        <w:bottom w:val="none" w:sz="0" w:space="0" w:color="auto"/>
        <w:right w:val="none" w:sz="0" w:space="0" w:color="auto"/>
      </w:divBdr>
    </w:div>
    <w:div w:id="1941332429">
      <w:bodyDiv w:val="1"/>
      <w:marLeft w:val="0"/>
      <w:marRight w:val="0"/>
      <w:marTop w:val="0"/>
      <w:marBottom w:val="0"/>
      <w:divBdr>
        <w:top w:val="none" w:sz="0" w:space="0" w:color="auto"/>
        <w:left w:val="none" w:sz="0" w:space="0" w:color="auto"/>
        <w:bottom w:val="none" w:sz="0" w:space="0" w:color="auto"/>
        <w:right w:val="none" w:sz="0" w:space="0" w:color="auto"/>
      </w:divBdr>
    </w:div>
    <w:div w:id="1942101965">
      <w:bodyDiv w:val="1"/>
      <w:marLeft w:val="0"/>
      <w:marRight w:val="0"/>
      <w:marTop w:val="0"/>
      <w:marBottom w:val="0"/>
      <w:divBdr>
        <w:top w:val="none" w:sz="0" w:space="0" w:color="auto"/>
        <w:left w:val="none" w:sz="0" w:space="0" w:color="auto"/>
        <w:bottom w:val="none" w:sz="0" w:space="0" w:color="auto"/>
        <w:right w:val="none" w:sz="0" w:space="0" w:color="auto"/>
      </w:divBdr>
    </w:div>
    <w:div w:id="1944654862">
      <w:bodyDiv w:val="1"/>
      <w:marLeft w:val="0"/>
      <w:marRight w:val="0"/>
      <w:marTop w:val="0"/>
      <w:marBottom w:val="0"/>
      <w:divBdr>
        <w:top w:val="none" w:sz="0" w:space="0" w:color="auto"/>
        <w:left w:val="none" w:sz="0" w:space="0" w:color="auto"/>
        <w:bottom w:val="none" w:sz="0" w:space="0" w:color="auto"/>
        <w:right w:val="none" w:sz="0" w:space="0" w:color="auto"/>
      </w:divBdr>
    </w:div>
    <w:div w:id="1949504286">
      <w:bodyDiv w:val="1"/>
      <w:marLeft w:val="0"/>
      <w:marRight w:val="0"/>
      <w:marTop w:val="0"/>
      <w:marBottom w:val="0"/>
      <w:divBdr>
        <w:top w:val="none" w:sz="0" w:space="0" w:color="auto"/>
        <w:left w:val="none" w:sz="0" w:space="0" w:color="auto"/>
        <w:bottom w:val="none" w:sz="0" w:space="0" w:color="auto"/>
        <w:right w:val="none" w:sz="0" w:space="0" w:color="auto"/>
      </w:divBdr>
    </w:div>
    <w:div w:id="1993636562">
      <w:bodyDiv w:val="1"/>
      <w:marLeft w:val="0"/>
      <w:marRight w:val="0"/>
      <w:marTop w:val="0"/>
      <w:marBottom w:val="0"/>
      <w:divBdr>
        <w:top w:val="none" w:sz="0" w:space="0" w:color="auto"/>
        <w:left w:val="none" w:sz="0" w:space="0" w:color="auto"/>
        <w:bottom w:val="none" w:sz="0" w:space="0" w:color="auto"/>
        <w:right w:val="none" w:sz="0" w:space="0" w:color="auto"/>
      </w:divBdr>
    </w:div>
    <w:div w:id="1998608658">
      <w:bodyDiv w:val="1"/>
      <w:marLeft w:val="0"/>
      <w:marRight w:val="0"/>
      <w:marTop w:val="0"/>
      <w:marBottom w:val="0"/>
      <w:divBdr>
        <w:top w:val="none" w:sz="0" w:space="0" w:color="auto"/>
        <w:left w:val="none" w:sz="0" w:space="0" w:color="auto"/>
        <w:bottom w:val="none" w:sz="0" w:space="0" w:color="auto"/>
        <w:right w:val="none" w:sz="0" w:space="0" w:color="auto"/>
      </w:divBdr>
    </w:div>
    <w:div w:id="2012021283">
      <w:bodyDiv w:val="1"/>
      <w:marLeft w:val="0"/>
      <w:marRight w:val="0"/>
      <w:marTop w:val="0"/>
      <w:marBottom w:val="0"/>
      <w:divBdr>
        <w:top w:val="none" w:sz="0" w:space="0" w:color="auto"/>
        <w:left w:val="none" w:sz="0" w:space="0" w:color="auto"/>
        <w:bottom w:val="none" w:sz="0" w:space="0" w:color="auto"/>
        <w:right w:val="none" w:sz="0" w:space="0" w:color="auto"/>
      </w:divBdr>
    </w:div>
    <w:div w:id="2015914032">
      <w:bodyDiv w:val="1"/>
      <w:marLeft w:val="0"/>
      <w:marRight w:val="0"/>
      <w:marTop w:val="0"/>
      <w:marBottom w:val="0"/>
      <w:divBdr>
        <w:top w:val="none" w:sz="0" w:space="0" w:color="auto"/>
        <w:left w:val="none" w:sz="0" w:space="0" w:color="auto"/>
        <w:bottom w:val="none" w:sz="0" w:space="0" w:color="auto"/>
        <w:right w:val="none" w:sz="0" w:space="0" w:color="auto"/>
      </w:divBdr>
    </w:div>
    <w:div w:id="2026983010">
      <w:bodyDiv w:val="1"/>
      <w:marLeft w:val="0"/>
      <w:marRight w:val="0"/>
      <w:marTop w:val="0"/>
      <w:marBottom w:val="0"/>
      <w:divBdr>
        <w:top w:val="none" w:sz="0" w:space="0" w:color="auto"/>
        <w:left w:val="none" w:sz="0" w:space="0" w:color="auto"/>
        <w:bottom w:val="none" w:sz="0" w:space="0" w:color="auto"/>
        <w:right w:val="none" w:sz="0" w:space="0" w:color="auto"/>
      </w:divBdr>
    </w:div>
    <w:div w:id="2041010365">
      <w:bodyDiv w:val="1"/>
      <w:marLeft w:val="0"/>
      <w:marRight w:val="0"/>
      <w:marTop w:val="0"/>
      <w:marBottom w:val="0"/>
      <w:divBdr>
        <w:top w:val="none" w:sz="0" w:space="0" w:color="auto"/>
        <w:left w:val="none" w:sz="0" w:space="0" w:color="auto"/>
        <w:bottom w:val="none" w:sz="0" w:space="0" w:color="auto"/>
        <w:right w:val="none" w:sz="0" w:space="0" w:color="auto"/>
      </w:divBdr>
    </w:div>
    <w:div w:id="2043703796">
      <w:bodyDiv w:val="1"/>
      <w:marLeft w:val="0"/>
      <w:marRight w:val="0"/>
      <w:marTop w:val="0"/>
      <w:marBottom w:val="0"/>
      <w:divBdr>
        <w:top w:val="none" w:sz="0" w:space="0" w:color="auto"/>
        <w:left w:val="none" w:sz="0" w:space="0" w:color="auto"/>
        <w:bottom w:val="none" w:sz="0" w:space="0" w:color="auto"/>
        <w:right w:val="none" w:sz="0" w:space="0" w:color="auto"/>
      </w:divBdr>
    </w:div>
    <w:div w:id="2046296138">
      <w:bodyDiv w:val="1"/>
      <w:marLeft w:val="0"/>
      <w:marRight w:val="0"/>
      <w:marTop w:val="0"/>
      <w:marBottom w:val="0"/>
      <w:divBdr>
        <w:top w:val="none" w:sz="0" w:space="0" w:color="auto"/>
        <w:left w:val="none" w:sz="0" w:space="0" w:color="auto"/>
        <w:bottom w:val="none" w:sz="0" w:space="0" w:color="auto"/>
        <w:right w:val="none" w:sz="0" w:space="0" w:color="auto"/>
      </w:divBdr>
    </w:div>
    <w:div w:id="2054037890">
      <w:bodyDiv w:val="1"/>
      <w:marLeft w:val="0"/>
      <w:marRight w:val="0"/>
      <w:marTop w:val="0"/>
      <w:marBottom w:val="0"/>
      <w:divBdr>
        <w:top w:val="none" w:sz="0" w:space="0" w:color="auto"/>
        <w:left w:val="none" w:sz="0" w:space="0" w:color="auto"/>
        <w:bottom w:val="none" w:sz="0" w:space="0" w:color="auto"/>
        <w:right w:val="none" w:sz="0" w:space="0" w:color="auto"/>
      </w:divBdr>
    </w:div>
    <w:div w:id="2073112745">
      <w:bodyDiv w:val="1"/>
      <w:marLeft w:val="0"/>
      <w:marRight w:val="0"/>
      <w:marTop w:val="0"/>
      <w:marBottom w:val="0"/>
      <w:divBdr>
        <w:top w:val="none" w:sz="0" w:space="0" w:color="auto"/>
        <w:left w:val="none" w:sz="0" w:space="0" w:color="auto"/>
        <w:bottom w:val="none" w:sz="0" w:space="0" w:color="auto"/>
        <w:right w:val="none" w:sz="0" w:space="0" w:color="auto"/>
      </w:divBdr>
    </w:div>
    <w:div w:id="2081319273">
      <w:bodyDiv w:val="1"/>
      <w:marLeft w:val="0"/>
      <w:marRight w:val="0"/>
      <w:marTop w:val="0"/>
      <w:marBottom w:val="0"/>
      <w:divBdr>
        <w:top w:val="none" w:sz="0" w:space="0" w:color="auto"/>
        <w:left w:val="none" w:sz="0" w:space="0" w:color="auto"/>
        <w:bottom w:val="none" w:sz="0" w:space="0" w:color="auto"/>
        <w:right w:val="none" w:sz="0" w:space="0" w:color="auto"/>
      </w:divBdr>
    </w:div>
    <w:div w:id="2083141681">
      <w:bodyDiv w:val="1"/>
      <w:marLeft w:val="0"/>
      <w:marRight w:val="0"/>
      <w:marTop w:val="0"/>
      <w:marBottom w:val="0"/>
      <w:divBdr>
        <w:top w:val="none" w:sz="0" w:space="0" w:color="auto"/>
        <w:left w:val="none" w:sz="0" w:space="0" w:color="auto"/>
        <w:bottom w:val="none" w:sz="0" w:space="0" w:color="auto"/>
        <w:right w:val="none" w:sz="0" w:space="0" w:color="auto"/>
      </w:divBdr>
    </w:div>
    <w:div w:id="2090958455">
      <w:bodyDiv w:val="1"/>
      <w:marLeft w:val="0"/>
      <w:marRight w:val="0"/>
      <w:marTop w:val="0"/>
      <w:marBottom w:val="0"/>
      <w:divBdr>
        <w:top w:val="none" w:sz="0" w:space="0" w:color="auto"/>
        <w:left w:val="none" w:sz="0" w:space="0" w:color="auto"/>
        <w:bottom w:val="none" w:sz="0" w:space="0" w:color="auto"/>
        <w:right w:val="none" w:sz="0" w:space="0" w:color="auto"/>
      </w:divBdr>
    </w:div>
    <w:div w:id="2092697828">
      <w:bodyDiv w:val="1"/>
      <w:marLeft w:val="0"/>
      <w:marRight w:val="0"/>
      <w:marTop w:val="0"/>
      <w:marBottom w:val="0"/>
      <w:divBdr>
        <w:top w:val="none" w:sz="0" w:space="0" w:color="auto"/>
        <w:left w:val="none" w:sz="0" w:space="0" w:color="auto"/>
        <w:bottom w:val="none" w:sz="0" w:space="0" w:color="auto"/>
        <w:right w:val="none" w:sz="0" w:space="0" w:color="auto"/>
      </w:divBdr>
    </w:div>
    <w:div w:id="2100515217">
      <w:bodyDiv w:val="1"/>
      <w:marLeft w:val="0"/>
      <w:marRight w:val="0"/>
      <w:marTop w:val="0"/>
      <w:marBottom w:val="0"/>
      <w:divBdr>
        <w:top w:val="none" w:sz="0" w:space="0" w:color="auto"/>
        <w:left w:val="none" w:sz="0" w:space="0" w:color="auto"/>
        <w:bottom w:val="none" w:sz="0" w:space="0" w:color="auto"/>
        <w:right w:val="none" w:sz="0" w:space="0" w:color="auto"/>
      </w:divBdr>
    </w:div>
    <w:div w:id="2104956898">
      <w:bodyDiv w:val="1"/>
      <w:marLeft w:val="0"/>
      <w:marRight w:val="0"/>
      <w:marTop w:val="0"/>
      <w:marBottom w:val="0"/>
      <w:divBdr>
        <w:top w:val="none" w:sz="0" w:space="0" w:color="auto"/>
        <w:left w:val="none" w:sz="0" w:space="0" w:color="auto"/>
        <w:bottom w:val="none" w:sz="0" w:space="0" w:color="auto"/>
        <w:right w:val="none" w:sz="0" w:space="0" w:color="auto"/>
      </w:divBdr>
    </w:div>
    <w:div w:id="2129854855">
      <w:bodyDiv w:val="1"/>
      <w:marLeft w:val="0"/>
      <w:marRight w:val="0"/>
      <w:marTop w:val="0"/>
      <w:marBottom w:val="0"/>
      <w:divBdr>
        <w:top w:val="none" w:sz="0" w:space="0" w:color="auto"/>
        <w:left w:val="none" w:sz="0" w:space="0" w:color="auto"/>
        <w:bottom w:val="none" w:sz="0" w:space="0" w:color="auto"/>
        <w:right w:val="none" w:sz="0" w:space="0" w:color="auto"/>
      </w:divBdr>
    </w:div>
    <w:div w:id="213309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clipboard/media/image1.e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clipboard/media/image1.emf"/><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sv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6-02-07T13:36:31.92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386 6836</inkml:trace>
  <inkml:trace contextRef="#ctx0" brushRef="#br0" timeOffset="2188">0 6852</inkml:trace>
  <inkml:trace contextRef="#ctx0" brushRef="#br0" timeOffset="2830">0 6852</inkml:trace>
  <inkml:trace contextRef="#ctx0" brushRef="#br0" timeOffset="12979">9134 0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62.13592" units="1/cm"/>
          <inkml:channelProperty channel="Y" name="resolution" value="62.42775" units="1/cm"/>
        </inkml:channelProperties>
      </inkml:inkSource>
      <inkml:timestamp xml:id="ts0" timeString="2026-02-07T13:36:53.522"/>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67 0,'-35'0</inkml:trace>
  <inkml:trace contextRef="#ctx0" brushRef="#br0" timeOffset="475">32 99,'-32'0</inkml:trace>
</inkml:ink>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0796E-7395-49FE-9D86-AA6D6C776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1</Pages>
  <Words>21982</Words>
  <Characters>125304</Characters>
  <Application>Microsoft Office Word</Application>
  <DocSecurity>0</DocSecurity>
  <Lines>1044</Lines>
  <Paragraphs>293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146993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Antonina Manova</dc:creator>
  <cp:keywords/>
  <dc:description/>
  <cp:lastModifiedBy>OP Pazardzhik</cp:lastModifiedBy>
  <cp:revision>461</cp:revision>
  <cp:lastPrinted>2026-02-16T13:02:00Z</cp:lastPrinted>
  <dcterms:created xsi:type="dcterms:W3CDTF">2022-03-04T09:09:00Z</dcterms:created>
  <dcterms:modified xsi:type="dcterms:W3CDTF">2026-02-25T06:31:00Z</dcterms:modified>
</cp:coreProperties>
</file>