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83" w:rsidRPr="00251C83" w:rsidRDefault="00251C83" w:rsidP="00251C83">
      <w:pPr>
        <w:spacing w:after="0" w:line="240" w:lineRule="auto"/>
        <w:jc w:val="center"/>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48"/>
          <w:szCs w:val="48"/>
          <w:lang w:eastAsia="bg-BG"/>
        </w:rPr>
        <w:t>РЕШЕНИЕ</w:t>
      </w:r>
      <w:r w:rsidRPr="00251C83">
        <w:rPr>
          <w:rFonts w:ascii="Times New Roman" w:eastAsia="Times New Roman" w:hAnsi="Times New Roman" w:cs="Times New Roman"/>
          <w:sz w:val="24"/>
          <w:szCs w:val="24"/>
          <w:lang w:eastAsia="bg-BG"/>
        </w:rPr>
        <w:br/>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b/>
          <w:bCs/>
          <w:sz w:val="36"/>
          <w:szCs w:val="36"/>
          <w:lang w:eastAsia="bg-BG"/>
        </w:rPr>
        <w:t>№ 2366</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b/>
          <w:bCs/>
          <w:sz w:val="36"/>
          <w:szCs w:val="36"/>
          <w:lang w:eastAsia="bg-BG"/>
        </w:rPr>
        <w:t>София, 01.03.2016</w:t>
      </w:r>
      <w:r w:rsidRPr="00251C83">
        <w:rPr>
          <w:rFonts w:ascii="Times New Roman" w:eastAsia="Times New Roman" w:hAnsi="Times New Roman" w:cs="Times New Roman"/>
          <w:sz w:val="24"/>
          <w:szCs w:val="24"/>
          <w:lang w:eastAsia="bg-BG"/>
        </w:rPr>
        <w:br/>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b/>
          <w:bCs/>
          <w:sz w:val="36"/>
          <w:szCs w:val="36"/>
          <w:lang w:eastAsia="bg-BG"/>
        </w:rPr>
        <w:t>В ИМЕТО НА НАРОДА</w:t>
      </w:r>
    </w:p>
    <w:p w:rsidR="00251C83" w:rsidRPr="00251C83" w:rsidRDefault="00251C83" w:rsidP="00251C83">
      <w:pPr>
        <w:spacing w:after="240" w:line="240" w:lineRule="auto"/>
        <w:rPr>
          <w:rFonts w:ascii="Times New Roman" w:eastAsia="Times New Roman" w:hAnsi="Times New Roman" w:cs="Times New Roman"/>
          <w:sz w:val="24"/>
          <w:szCs w:val="24"/>
          <w:lang w:eastAsia="bg-BG"/>
        </w:rPr>
      </w:pP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b/>
          <w:bCs/>
          <w:sz w:val="27"/>
          <w:szCs w:val="27"/>
          <w:lang w:eastAsia="bg-BG"/>
        </w:rPr>
        <w:t xml:space="preserve">Върховният административен съд на Република България - Четвърто отделение, </w:t>
      </w:r>
      <w:r w:rsidRPr="00251C83">
        <w:rPr>
          <w:rFonts w:ascii="MS Sans Serif" w:eastAsia="Times New Roman" w:hAnsi="MS Sans Serif" w:cs="Times New Roman"/>
          <w:sz w:val="27"/>
          <w:szCs w:val="27"/>
          <w:lang w:eastAsia="bg-BG"/>
        </w:rPr>
        <w:t>в съдебно заседание на петнадесети февруари в състав:</w:t>
      </w:r>
    </w:p>
    <w:tbl>
      <w:tblPr>
        <w:tblW w:w="0" w:type="auto"/>
        <w:tblCellSpacing w:w="0" w:type="dxa"/>
        <w:tblCellMar>
          <w:left w:w="0" w:type="dxa"/>
          <w:right w:w="0" w:type="dxa"/>
        </w:tblCellMar>
        <w:tblLook w:val="04A0" w:firstRow="1" w:lastRow="0" w:firstColumn="1" w:lastColumn="0" w:noHBand="0" w:noVBand="1"/>
      </w:tblPr>
      <w:tblGrid>
        <w:gridCol w:w="5612"/>
        <w:gridCol w:w="3886"/>
      </w:tblGrid>
      <w:tr w:rsidR="00251C83" w:rsidRPr="00251C83" w:rsidTr="00251C83">
        <w:trPr>
          <w:tblCellSpacing w:w="0" w:type="dxa"/>
        </w:trPr>
        <w:tc>
          <w:tcPr>
            <w:tcW w:w="5910" w:type="dxa"/>
            <w:hideMark/>
          </w:tcPr>
          <w:p w:rsidR="00251C83" w:rsidRPr="00251C83" w:rsidRDefault="00251C83" w:rsidP="00251C83">
            <w:pPr>
              <w:spacing w:after="0" w:line="240" w:lineRule="auto"/>
              <w:jc w:val="right"/>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27"/>
                <w:szCs w:val="27"/>
                <w:lang w:eastAsia="bg-BG"/>
              </w:rPr>
              <w:t>ПРЕДСЕДАТЕЛ:</w:t>
            </w:r>
          </w:p>
        </w:tc>
        <w:tc>
          <w:tcPr>
            <w:tcW w:w="4080"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ГАЛИНА МАТЕЙСКА</w:t>
            </w:r>
          </w:p>
        </w:tc>
      </w:tr>
      <w:tr w:rsidR="00251C83" w:rsidRPr="00251C83" w:rsidTr="00251C83">
        <w:trPr>
          <w:tblCellSpacing w:w="0" w:type="dxa"/>
        </w:trPr>
        <w:tc>
          <w:tcPr>
            <w:tcW w:w="5910" w:type="dxa"/>
            <w:hideMark/>
          </w:tcPr>
          <w:p w:rsidR="00251C83" w:rsidRPr="00251C83" w:rsidRDefault="00251C83" w:rsidP="00251C83">
            <w:pPr>
              <w:spacing w:after="0" w:line="240" w:lineRule="auto"/>
              <w:jc w:val="right"/>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27"/>
                <w:szCs w:val="27"/>
                <w:lang w:eastAsia="bg-BG"/>
              </w:rPr>
              <w:t>ЧЛЕНОВЕ:</w:t>
            </w:r>
          </w:p>
        </w:tc>
        <w:tc>
          <w:tcPr>
            <w:tcW w:w="4080"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ТОДОР ПЕТКОВ</w:t>
            </w:r>
            <w:r w:rsidRPr="00251C83">
              <w:rPr>
                <w:rFonts w:ascii="MS Sans Serif" w:eastAsia="Times New Roman" w:hAnsi="MS Sans Serif" w:cs="Times New Roman"/>
                <w:sz w:val="27"/>
                <w:szCs w:val="27"/>
                <w:lang w:eastAsia="bg-BG"/>
              </w:rPr>
              <w:br/>
              <w:t>СВЕТОСЛАВ СЛАВОВ</w:t>
            </w:r>
          </w:p>
        </w:tc>
      </w:tr>
    </w:tbl>
    <w:p w:rsidR="00251C83" w:rsidRPr="00251C83" w:rsidRDefault="00251C83" w:rsidP="00251C83">
      <w:pPr>
        <w:spacing w:after="0" w:line="240" w:lineRule="auto"/>
        <w:rPr>
          <w:rFonts w:ascii="Times New Roman" w:eastAsia="Times New Roman" w:hAnsi="Times New Roman" w:cs="Times New Roman"/>
          <w:vanish/>
          <w:sz w:val="24"/>
          <w:szCs w:val="24"/>
          <w:lang w:eastAsia="bg-BG"/>
        </w:rPr>
      </w:pPr>
    </w:p>
    <w:tbl>
      <w:tblPr>
        <w:tblW w:w="0" w:type="auto"/>
        <w:tblCellSpacing w:w="0" w:type="dxa"/>
        <w:tblCellMar>
          <w:left w:w="0" w:type="dxa"/>
          <w:right w:w="0" w:type="dxa"/>
        </w:tblCellMar>
        <w:tblLook w:val="04A0" w:firstRow="1" w:lastRow="0" w:firstColumn="1" w:lastColumn="0" w:noHBand="0" w:noVBand="1"/>
      </w:tblPr>
      <w:tblGrid>
        <w:gridCol w:w="2415"/>
        <w:gridCol w:w="3675"/>
        <w:gridCol w:w="2760"/>
      </w:tblGrid>
      <w:tr w:rsidR="00251C83" w:rsidRPr="00251C83" w:rsidTr="00251C83">
        <w:trPr>
          <w:tblCellSpacing w:w="0" w:type="dxa"/>
        </w:trPr>
        <w:tc>
          <w:tcPr>
            <w:tcW w:w="2415"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 xml:space="preserve">при секретар </w:t>
            </w:r>
          </w:p>
        </w:tc>
        <w:tc>
          <w:tcPr>
            <w:tcW w:w="3675"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 xml:space="preserve">Илиана Илиева </w:t>
            </w:r>
          </w:p>
        </w:tc>
        <w:tc>
          <w:tcPr>
            <w:tcW w:w="2760" w:type="dxa"/>
            <w:hideMark/>
          </w:tcPr>
          <w:p w:rsidR="00251C83" w:rsidRPr="00251C83" w:rsidRDefault="00251C83" w:rsidP="00251C83">
            <w:pPr>
              <w:spacing w:after="0" w:line="240" w:lineRule="auto"/>
              <w:jc w:val="right"/>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и с участието</w:t>
            </w:r>
          </w:p>
        </w:tc>
      </w:tr>
      <w:tr w:rsidR="00251C83" w:rsidRPr="00251C83" w:rsidTr="00251C83">
        <w:trPr>
          <w:tblCellSpacing w:w="0" w:type="dxa"/>
        </w:trPr>
        <w:tc>
          <w:tcPr>
            <w:tcW w:w="2415"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 xml:space="preserve">на прокурора </w:t>
            </w:r>
          </w:p>
        </w:tc>
        <w:tc>
          <w:tcPr>
            <w:tcW w:w="3675"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Владимир Йорданов</w:t>
            </w:r>
          </w:p>
        </w:tc>
        <w:tc>
          <w:tcPr>
            <w:tcW w:w="2760" w:type="dxa"/>
            <w:hideMark/>
          </w:tcPr>
          <w:p w:rsidR="00251C83" w:rsidRPr="00251C83" w:rsidRDefault="00251C83" w:rsidP="00251C83">
            <w:pPr>
              <w:spacing w:after="0" w:line="240" w:lineRule="auto"/>
              <w:jc w:val="right"/>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изслуша докладваното</w:t>
            </w:r>
          </w:p>
        </w:tc>
      </w:tr>
      <w:tr w:rsidR="00251C83" w:rsidRPr="00251C83" w:rsidTr="00251C83">
        <w:trPr>
          <w:tblCellSpacing w:w="0" w:type="dxa"/>
        </w:trPr>
        <w:tc>
          <w:tcPr>
            <w:tcW w:w="2415"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от съдията</w:t>
            </w:r>
          </w:p>
        </w:tc>
        <w:tc>
          <w:tcPr>
            <w:tcW w:w="3675"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ТОДОР ПЕТКОВ</w:t>
            </w:r>
          </w:p>
        </w:tc>
        <w:tc>
          <w:tcPr>
            <w:tcW w:w="2760"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Times New Roman" w:eastAsia="Times New Roman" w:hAnsi="Times New Roman" w:cs="Times New Roman"/>
                <w:noProof/>
                <w:sz w:val="24"/>
                <w:szCs w:val="24"/>
                <w:lang w:eastAsia="bg-BG"/>
              </w:rPr>
              <w:drawing>
                <wp:inline distT="0" distB="0" distL="0" distR="0" wp14:anchorId="259B0B62" wp14:editId="48106752">
                  <wp:extent cx="9525" cy="9525"/>
                  <wp:effectExtent l="0" t="0" r="0" b="0"/>
                  <wp:docPr id="1" name="Картина 1" descr="http://www.sac.government.b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c.government.b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51C83" w:rsidRPr="00251C83" w:rsidTr="00251C83">
        <w:trPr>
          <w:tblCellSpacing w:w="0" w:type="dxa"/>
        </w:trPr>
        <w:tc>
          <w:tcPr>
            <w:tcW w:w="8850" w:type="dxa"/>
            <w:gridSpan w:val="3"/>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 xml:space="preserve">по </w:t>
            </w:r>
            <w:proofErr w:type="spellStart"/>
            <w:r w:rsidRPr="00251C83">
              <w:rPr>
                <w:rFonts w:ascii="MS Sans Serif" w:eastAsia="Times New Roman" w:hAnsi="MS Sans Serif" w:cs="Times New Roman"/>
                <w:sz w:val="27"/>
                <w:szCs w:val="27"/>
                <w:lang w:eastAsia="bg-BG"/>
              </w:rPr>
              <w:t>адм</w:t>
            </w:r>
            <w:proofErr w:type="spellEnd"/>
            <w:r w:rsidRPr="00251C83">
              <w:rPr>
                <w:rFonts w:ascii="MS Sans Serif" w:eastAsia="Times New Roman" w:hAnsi="MS Sans Serif" w:cs="Times New Roman"/>
                <w:sz w:val="27"/>
                <w:szCs w:val="27"/>
                <w:lang w:eastAsia="bg-BG"/>
              </w:rPr>
              <w:t>. дело № 14020/2015</w:t>
            </w:r>
            <w:r w:rsidRPr="00251C83">
              <w:rPr>
                <w:rFonts w:ascii="MS Sans Serif" w:eastAsia="Times New Roman" w:hAnsi="MS Sans Serif" w:cs="Times New Roman"/>
                <w:b/>
                <w:bCs/>
                <w:sz w:val="27"/>
                <w:szCs w:val="27"/>
                <w:lang w:eastAsia="bg-BG"/>
              </w:rPr>
              <w:t xml:space="preserve">. </w:t>
            </w:r>
            <w:r w:rsidRPr="00251C83">
              <w:rPr>
                <w:rFonts w:ascii="MS Sans Serif" w:eastAsia="Times New Roman" w:hAnsi="MS Sans Serif" w:cs="Times New Roman"/>
                <w:noProof/>
                <w:color w:val="0000FF"/>
                <w:sz w:val="27"/>
                <w:szCs w:val="27"/>
                <w:lang w:eastAsia="bg-BG"/>
              </w:rPr>
              <w:drawing>
                <wp:inline distT="0" distB="0" distL="0" distR="0" wp14:anchorId="3878B42F" wp14:editId="09A550DC">
                  <wp:extent cx="114300" cy="133350"/>
                  <wp:effectExtent l="0" t="0" r="0" b="0"/>
                  <wp:docPr id="2" name="Картина 2" descr="Document Link 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Link Ic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tc>
      </w:tr>
    </w:tbl>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Times New Roman" w:eastAsia="Times New Roman" w:hAnsi="Times New Roman" w:cs="Times New Roman"/>
          <w:sz w:val="24"/>
          <w:szCs w:val="24"/>
          <w:lang w:eastAsia="bg-BG"/>
        </w:rPr>
        <w:br/>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Производството пред Върховния административен съд е по реда на чл.208 и сл. от </w:t>
      </w:r>
      <w:proofErr w:type="spellStart"/>
      <w:r w:rsidRPr="00251C83">
        <w:rPr>
          <w:rFonts w:ascii="MS Sans Serif" w:eastAsia="Times New Roman" w:hAnsi="MS Sans Serif" w:cs="Times New Roman"/>
          <w:sz w:val="27"/>
          <w:szCs w:val="27"/>
          <w:lang w:eastAsia="bg-BG"/>
        </w:rPr>
        <w:t>Административнопроцесуалния</w:t>
      </w:r>
      <w:proofErr w:type="spellEnd"/>
      <w:r w:rsidRPr="00251C83">
        <w:rPr>
          <w:rFonts w:ascii="MS Sans Serif" w:eastAsia="Times New Roman" w:hAnsi="MS Sans Serif" w:cs="Times New Roman"/>
          <w:sz w:val="27"/>
          <w:szCs w:val="27"/>
          <w:lang w:eastAsia="bg-BG"/>
        </w:rPr>
        <w:t xml:space="preserve"> кодекс (АПК) във </w:t>
      </w:r>
      <w:hyperlink r:id="rId8" w:history="1">
        <w:r w:rsidRPr="00251C83">
          <w:rPr>
            <w:rFonts w:ascii="MS Sans Serif" w:eastAsia="Times New Roman" w:hAnsi="MS Sans Serif" w:cs="Times New Roman"/>
            <w:color w:val="0000FF"/>
            <w:sz w:val="27"/>
            <w:szCs w:val="27"/>
            <w:u w:val="single"/>
            <w:lang w:eastAsia="bg-BG"/>
          </w:rPr>
          <w:t>чл. 122е от Закона за обществените поръчки (ЗОП</w:t>
        </w:r>
      </w:hyperlink>
      <w:r w:rsidRPr="00251C83">
        <w:rPr>
          <w:rFonts w:ascii="MS Sans Serif" w:eastAsia="Times New Roman" w:hAnsi="MS Sans Serif" w:cs="Times New Roman"/>
          <w:sz w:val="27"/>
          <w:szCs w:val="27"/>
          <w:lang w:eastAsia="bg-BG"/>
        </w:rPr>
        <w:t xml:space="preserve">).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Образувано е по касационна жалба от административния ръководител - окръжен прокурор на Окръжна прокуратура гр.Русе, против Решение № 852 от 4.11.2015 г. на Комисия за защита на конкуренцията ( КЗК ) по преписка, вх. № КЗК-572/30.09.2015 г., с което е отменено Решение № ОПИ-1/11.09.2015 на Окръжна прокуратура - Русе за класиране на участниците и избор на изпълнители на обществена поръчка с предмет: "Извършване на писмени преводачески услуги от български на чужд и от чужд на български език за нуждите на Окръжна прокуратура Русе", открита с Решение № ОПИ-1/17.06.2015 г. на възложителя и преписката е върната на възложителя за продължаване на процедурата от етап разглеждане, оценка и класиране на офертите за обществена поръчка в съответствие с изискванията на закона и мотивите, изложени в решението. В жалбата </w:t>
      </w:r>
      <w:proofErr w:type="spellStart"/>
      <w:r w:rsidRPr="00251C83">
        <w:rPr>
          <w:rFonts w:ascii="MS Sans Serif" w:eastAsia="Times New Roman" w:hAnsi="MS Sans Serif" w:cs="Times New Roman"/>
          <w:sz w:val="27"/>
          <w:szCs w:val="27"/>
          <w:lang w:eastAsia="bg-BG"/>
        </w:rPr>
        <w:t>остоятелствено</w:t>
      </w:r>
      <w:proofErr w:type="spellEnd"/>
      <w:r w:rsidRPr="00251C83">
        <w:rPr>
          <w:rFonts w:ascii="MS Sans Serif" w:eastAsia="Times New Roman" w:hAnsi="MS Sans Serif" w:cs="Times New Roman"/>
          <w:sz w:val="27"/>
          <w:szCs w:val="27"/>
          <w:lang w:eastAsia="bg-BG"/>
        </w:rPr>
        <w:t xml:space="preserve"> са </w:t>
      </w:r>
      <w:proofErr w:type="spellStart"/>
      <w:r w:rsidRPr="00251C83">
        <w:rPr>
          <w:rFonts w:ascii="MS Sans Serif" w:eastAsia="Times New Roman" w:hAnsi="MS Sans Serif" w:cs="Times New Roman"/>
          <w:sz w:val="27"/>
          <w:szCs w:val="27"/>
          <w:lang w:eastAsia="bg-BG"/>
        </w:rPr>
        <w:t>релевирани</w:t>
      </w:r>
      <w:proofErr w:type="spellEnd"/>
      <w:r w:rsidRPr="00251C83">
        <w:rPr>
          <w:rFonts w:ascii="MS Sans Serif" w:eastAsia="Times New Roman" w:hAnsi="MS Sans Serif" w:cs="Times New Roman"/>
          <w:sz w:val="27"/>
          <w:szCs w:val="27"/>
          <w:lang w:eastAsia="bg-BG"/>
        </w:rPr>
        <w:t xml:space="preserve"> доводи, че решението е постановено в нарушение с материалния закон, съществени нарушения на </w:t>
      </w:r>
      <w:proofErr w:type="spellStart"/>
      <w:r w:rsidRPr="00251C83">
        <w:rPr>
          <w:rFonts w:ascii="MS Sans Serif" w:eastAsia="Times New Roman" w:hAnsi="MS Sans Serif" w:cs="Times New Roman"/>
          <w:sz w:val="27"/>
          <w:szCs w:val="27"/>
          <w:lang w:eastAsia="bg-BG"/>
        </w:rPr>
        <w:t>съдопроизводствените</w:t>
      </w:r>
      <w:proofErr w:type="spellEnd"/>
      <w:r w:rsidRPr="00251C83">
        <w:rPr>
          <w:rFonts w:ascii="MS Sans Serif" w:eastAsia="Times New Roman" w:hAnsi="MS Sans Serif" w:cs="Times New Roman"/>
          <w:sz w:val="27"/>
          <w:szCs w:val="27"/>
          <w:lang w:eastAsia="bg-BG"/>
        </w:rPr>
        <w:t xml:space="preserve"> правила е необоснованост – </w:t>
      </w:r>
      <w:proofErr w:type="spellStart"/>
      <w:r w:rsidRPr="00251C83">
        <w:rPr>
          <w:rFonts w:ascii="MS Sans Serif" w:eastAsia="Times New Roman" w:hAnsi="MS Sans Serif" w:cs="Times New Roman"/>
          <w:sz w:val="27"/>
          <w:szCs w:val="27"/>
          <w:lang w:eastAsia="bg-BG"/>
        </w:rPr>
        <w:t>отменителни</w:t>
      </w:r>
      <w:proofErr w:type="spellEnd"/>
      <w:r w:rsidRPr="00251C83">
        <w:rPr>
          <w:rFonts w:ascii="MS Sans Serif" w:eastAsia="Times New Roman" w:hAnsi="MS Sans Serif" w:cs="Times New Roman"/>
          <w:sz w:val="27"/>
          <w:szCs w:val="27"/>
          <w:lang w:eastAsia="bg-BG"/>
        </w:rPr>
        <w:t xml:space="preserve"> основания по чл.209, т.3 от АПК. Твърди се, че КЗК необосновано и в противоречие с представените към офертата доказателства за изпълнение на изискванията по обявлението и допълнителните указания на възложителя незаконосъобразно и необосновано е приела, че класирания на първо място участник е следвало да бъде отстранен от участие. По тези и други съображения моли решението на КЗК да бъде отменено.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Ответникът – Комисия за защита на конкуренцията не ангажира становище по касационната жалба.</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Ответникът – „Орхидея- 94" ЕООД чрез процесуален представител </w:t>
      </w:r>
      <w:proofErr w:type="spellStart"/>
      <w:r w:rsidRPr="00251C83">
        <w:rPr>
          <w:rFonts w:ascii="MS Sans Serif" w:eastAsia="Times New Roman" w:hAnsi="MS Sans Serif" w:cs="Times New Roman"/>
          <w:sz w:val="27"/>
          <w:szCs w:val="27"/>
          <w:lang w:eastAsia="bg-BG"/>
        </w:rPr>
        <w:t>релевира</w:t>
      </w:r>
      <w:proofErr w:type="spellEnd"/>
      <w:r w:rsidRPr="00251C83">
        <w:rPr>
          <w:rFonts w:ascii="MS Sans Serif" w:eastAsia="Times New Roman" w:hAnsi="MS Sans Serif" w:cs="Times New Roman"/>
          <w:sz w:val="27"/>
          <w:szCs w:val="27"/>
          <w:lang w:eastAsia="bg-BG"/>
        </w:rPr>
        <w:t xml:space="preserve"> доводи за неоснователност на касационната жалба.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lastRenderedPageBreak/>
        <w:t xml:space="preserve">Заинтересованата страна –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xml:space="preserve">" ЕООД чрез процесуален представител </w:t>
      </w:r>
      <w:proofErr w:type="spellStart"/>
      <w:r w:rsidRPr="00251C83">
        <w:rPr>
          <w:rFonts w:ascii="MS Sans Serif" w:eastAsia="Times New Roman" w:hAnsi="MS Sans Serif" w:cs="Times New Roman"/>
          <w:sz w:val="27"/>
          <w:szCs w:val="27"/>
          <w:lang w:eastAsia="bg-BG"/>
        </w:rPr>
        <w:t>релевира</w:t>
      </w:r>
      <w:proofErr w:type="spellEnd"/>
      <w:r w:rsidRPr="00251C83">
        <w:rPr>
          <w:rFonts w:ascii="MS Sans Serif" w:eastAsia="Times New Roman" w:hAnsi="MS Sans Serif" w:cs="Times New Roman"/>
          <w:sz w:val="27"/>
          <w:szCs w:val="27"/>
          <w:lang w:eastAsia="bg-BG"/>
        </w:rPr>
        <w:t xml:space="preserve"> доводи за основателност на касационната жалба, развити и в допълнително представено писмено становище. Акцентира върху автентичността на диплома за завършен курс по </w:t>
      </w:r>
      <w:proofErr w:type="spellStart"/>
      <w:r w:rsidRPr="00251C83">
        <w:rPr>
          <w:rFonts w:ascii="MS Sans Serif" w:eastAsia="Times New Roman" w:hAnsi="MS Sans Serif" w:cs="Times New Roman"/>
          <w:sz w:val="27"/>
          <w:szCs w:val="27"/>
          <w:lang w:eastAsia="bg-BG"/>
        </w:rPr>
        <w:t>литуанистика</w:t>
      </w:r>
      <w:proofErr w:type="spellEnd"/>
      <w:r w:rsidRPr="00251C83">
        <w:rPr>
          <w:rFonts w:ascii="MS Sans Serif" w:eastAsia="Times New Roman" w:hAnsi="MS Sans Serif" w:cs="Times New Roman"/>
          <w:sz w:val="27"/>
          <w:szCs w:val="27"/>
          <w:lang w:eastAsia="bg-BG"/>
        </w:rPr>
        <w:t xml:space="preserve"> на преводача Милен Митев, издадена от Вилнюски университет през 1993г.</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Представителят на Върховна административна прокуратура дава мотивирано заключение за основателност на касационната жалба.</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Като прецени наведените касационни основания, доводите на страните във връзка с тях и доказателствата по делото, Върховният административен съд, четвърто отделение намира касационната жалба като подадена от надлежна страна в </w:t>
      </w:r>
      <w:proofErr w:type="spellStart"/>
      <w:r w:rsidRPr="00251C83">
        <w:rPr>
          <w:rFonts w:ascii="MS Sans Serif" w:eastAsia="Times New Roman" w:hAnsi="MS Sans Serif" w:cs="Times New Roman"/>
          <w:sz w:val="27"/>
          <w:szCs w:val="27"/>
          <w:lang w:eastAsia="bg-BG"/>
        </w:rPr>
        <w:t>законоустановения</w:t>
      </w:r>
      <w:proofErr w:type="spellEnd"/>
      <w:r w:rsidRPr="00251C83">
        <w:rPr>
          <w:rFonts w:ascii="MS Sans Serif" w:eastAsia="Times New Roman" w:hAnsi="MS Sans Serif" w:cs="Times New Roman"/>
          <w:sz w:val="27"/>
          <w:szCs w:val="27"/>
          <w:lang w:eastAsia="bg-BG"/>
        </w:rPr>
        <w:t xml:space="preserve"> в </w:t>
      </w:r>
      <w:hyperlink r:id="rId9" w:history="1">
        <w:r w:rsidRPr="00251C83">
          <w:rPr>
            <w:rFonts w:ascii="MS Sans Serif" w:eastAsia="Times New Roman" w:hAnsi="MS Sans Serif" w:cs="Times New Roman"/>
            <w:color w:val="0000FF"/>
            <w:sz w:val="27"/>
            <w:szCs w:val="27"/>
            <w:u w:val="single"/>
            <w:lang w:eastAsia="bg-BG"/>
          </w:rPr>
          <w:t>чл. 122е, ал. 1 от ЗОП</w:t>
        </w:r>
      </w:hyperlink>
      <w:r w:rsidRPr="00251C83">
        <w:rPr>
          <w:rFonts w:ascii="MS Sans Serif" w:eastAsia="Times New Roman" w:hAnsi="MS Sans Serif" w:cs="Times New Roman"/>
          <w:sz w:val="27"/>
          <w:szCs w:val="27"/>
          <w:lang w:eastAsia="bg-BG"/>
        </w:rPr>
        <w:t xml:space="preserve"> 14-дневен срок от съобщаване на решението, за процесуално допустима. Разгледана по същество е неоснователна по следните съображения:</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С Решение № ОПИ-1/18.06.2015 г. е открита "</w:t>
      </w:r>
      <w:proofErr w:type="spellStart"/>
      <w:r w:rsidRPr="00251C83">
        <w:rPr>
          <w:rFonts w:ascii="MS Sans Serif" w:eastAsia="Times New Roman" w:hAnsi="MS Sans Serif" w:cs="Times New Roman"/>
          <w:sz w:val="27"/>
          <w:szCs w:val="27"/>
          <w:lang w:eastAsia="bg-BG"/>
        </w:rPr>
        <w:t>открита</w:t>
      </w:r>
      <w:proofErr w:type="spellEnd"/>
      <w:r w:rsidRPr="00251C83">
        <w:rPr>
          <w:rFonts w:ascii="MS Sans Serif" w:eastAsia="Times New Roman" w:hAnsi="MS Sans Serif" w:cs="Times New Roman"/>
          <w:sz w:val="27"/>
          <w:szCs w:val="27"/>
          <w:lang w:eastAsia="bg-BG"/>
        </w:rPr>
        <w:t xml:space="preserve">" по вид процедура за възлагане на обществена поръчка с предмет: "Извършване на писмени преводачески услуги от български на чужд и от чужд на български език, както следва: за първа, втора, трета и четвърта група чужди езици - за нуждите на Окръжна прокуратура Русе, открита с Решение № ОПИ-1/17.06.2015 г., променена с Решение от 29.06.2015 г. на </w:t>
      </w:r>
      <w:proofErr w:type="spellStart"/>
      <w:r w:rsidRPr="00251C83">
        <w:rPr>
          <w:rFonts w:ascii="MS Sans Serif" w:eastAsia="Times New Roman" w:hAnsi="MS Sans Serif" w:cs="Times New Roman"/>
          <w:sz w:val="27"/>
          <w:szCs w:val="27"/>
          <w:lang w:eastAsia="bg-BG"/>
        </w:rPr>
        <w:t>адм</w:t>
      </w:r>
      <w:proofErr w:type="spellEnd"/>
      <w:r w:rsidRPr="00251C83">
        <w:rPr>
          <w:rFonts w:ascii="MS Sans Serif" w:eastAsia="Times New Roman" w:hAnsi="MS Sans Serif" w:cs="Times New Roman"/>
          <w:sz w:val="27"/>
          <w:szCs w:val="27"/>
          <w:lang w:eastAsia="bg-BG"/>
        </w:rPr>
        <w:t xml:space="preserve">. ръководител - окръжен прокурор на Окръжна прокуратура - Русе -възложител.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С решението са одобрени обявлението и документацията за участие. В раздел Б, т. I "Пълно описание на предмета на поръчката" е посочено, че писмените преводи ще бъдат от и на следните езици ( в четири групи), като в III-та група езици са посочени ” … латвийски, литовски…”, които понастоящем са релевантни в спора по главния факт.</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Съгласно раздел Б, т. I "Пълно описание на предмета на поръчката", т.2.3. „Участникът трябва да разполага с екип от преводачи, ангажирани с изпълнението на поръчката, както следва: поне по трима преводача за всеки от езиците в първа и втора група и </w:t>
      </w:r>
      <w:r w:rsidRPr="00251C83">
        <w:rPr>
          <w:rFonts w:ascii="MS Sans Serif" w:eastAsia="Times New Roman" w:hAnsi="MS Sans Serif" w:cs="Times New Roman"/>
          <w:i/>
          <w:iCs/>
          <w:sz w:val="27"/>
          <w:szCs w:val="27"/>
          <w:lang w:eastAsia="bg-BG"/>
        </w:rPr>
        <w:t>по един преводач за всеки от езиците</w:t>
      </w:r>
      <w:r w:rsidRPr="00251C83">
        <w:rPr>
          <w:rFonts w:ascii="MS Sans Serif" w:eastAsia="Times New Roman" w:hAnsi="MS Sans Serif" w:cs="Times New Roman"/>
          <w:sz w:val="27"/>
          <w:szCs w:val="27"/>
          <w:lang w:eastAsia="bg-BG"/>
        </w:rPr>
        <w:t xml:space="preserve"> от трета и четвърта група”.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За участие в процедурата са постъпили оферти от "ОРХИДЕЯ- 94" ЕООД, и "МИТРА ТРАНСЛЕЙШЪНС" ООД.</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Със Заповед № РД-04-168/24.08.2015 г. на административния ръководител - окръжен прокурор на Окръжна прокуратура - Русе е назначена комисия по чл.34 ЗОП за провеждане на процедурата. Работата й е </w:t>
      </w:r>
      <w:proofErr w:type="spellStart"/>
      <w:r w:rsidRPr="00251C83">
        <w:rPr>
          <w:rFonts w:ascii="MS Sans Serif" w:eastAsia="Times New Roman" w:hAnsi="MS Sans Serif" w:cs="Times New Roman"/>
          <w:sz w:val="27"/>
          <w:szCs w:val="27"/>
          <w:lang w:eastAsia="bg-BG"/>
        </w:rPr>
        <w:t>обективирана</w:t>
      </w:r>
      <w:proofErr w:type="spellEnd"/>
      <w:r w:rsidRPr="00251C83">
        <w:rPr>
          <w:rFonts w:ascii="MS Sans Serif" w:eastAsia="Times New Roman" w:hAnsi="MS Sans Serif" w:cs="Times New Roman"/>
          <w:sz w:val="27"/>
          <w:szCs w:val="27"/>
          <w:lang w:eastAsia="bg-BG"/>
        </w:rPr>
        <w:t xml:space="preserve"> в шест протокола, включително работата на комисията във връзка с разглеждане на техническите предложения на участниците в процедурата.</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 Техническо предложение към офертата на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xml:space="preserve">" ООД е представен Списък -декларация, Приложение № 12 на преводачите, ангажирани с изпълнение на поръчката, включващ следните преводачи: Трета група: … латвийски език- Милен Гочев Митев; литовски език - Нина Борисова Тончева…”. За квалификацията на Милен Гочев Митев, преводач от латвийски език са установени Диплома за завършено висше филологично образование от Вилнюски университет, декларация за притежание на практически преводачески опит и декларирани години опит 15 г. Допълнителни доказателства или документи за този преводач не са изисквани по реда на чл.68, ал.8 ЗОП от участника. В резултат на това комисията е приела, че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xml:space="preserve">" ООД „ е </w:t>
      </w:r>
      <w:r w:rsidRPr="00251C83">
        <w:rPr>
          <w:rFonts w:ascii="MS Sans Serif" w:eastAsia="Times New Roman" w:hAnsi="MS Sans Serif" w:cs="Times New Roman"/>
          <w:sz w:val="27"/>
          <w:szCs w:val="27"/>
          <w:lang w:eastAsia="bg-BG"/>
        </w:rPr>
        <w:lastRenderedPageBreak/>
        <w:t xml:space="preserve">представила необходимите разяснения и с описаните по-горе документи доказва, че депозираната от участника документация и информация е в съответствие и удовлетворява критериите за подбор, поставени от Възложителя” и „представеното техническо предложение (Приложение № 10) от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ООД отговаря изцяло на изискванията на Възложителя, посочени в документацията за участие в процедурата” (протокол № 4).</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След като е разгледала техническите и ценови предложения на двамата участници, съобразно обявения от Възложителя критерий "най-ниска цена" за класиране на участниците в процедурата, комисията е класирала на първо място офертата, предложена от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ООД, а на второ място офертата предложена от "Орхидея-94" ЕООД.</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С Решение № ОПИ-1/11.09.2015 г. на основание </w:t>
      </w:r>
      <w:hyperlink r:id="rId10" w:history="1">
        <w:r w:rsidRPr="00251C83">
          <w:rPr>
            <w:rFonts w:ascii="MS Sans Serif" w:eastAsia="Times New Roman" w:hAnsi="MS Sans Serif" w:cs="Times New Roman"/>
            <w:color w:val="0000FF"/>
            <w:sz w:val="27"/>
            <w:szCs w:val="27"/>
            <w:u w:val="single"/>
            <w:lang w:eastAsia="bg-BG"/>
          </w:rPr>
          <w:t>чл. 73 от ЗОП</w:t>
        </w:r>
      </w:hyperlink>
      <w:r w:rsidRPr="00251C83">
        <w:rPr>
          <w:rFonts w:ascii="MS Sans Serif" w:eastAsia="Times New Roman" w:hAnsi="MS Sans Serif" w:cs="Times New Roman"/>
          <w:sz w:val="27"/>
          <w:szCs w:val="27"/>
          <w:lang w:eastAsia="bg-BG"/>
        </w:rPr>
        <w:t xml:space="preserve"> и протоколите от работата на комисията е обявено класирането на участниците и е избран за изпълнител на обществената поръчка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ООД. С решението "Орхидея- 94" ЕООД е класирано на второ място.</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Впоследствие това решение е обжалвано от "Орхидея- 94" ЕООД пред КЗК, която в развилото се производство по законосъобразността на решението е приела като краен резултат, че решението е </w:t>
      </w:r>
      <w:proofErr w:type="spellStart"/>
      <w:r w:rsidRPr="00251C83">
        <w:rPr>
          <w:rFonts w:ascii="MS Sans Serif" w:eastAsia="Times New Roman" w:hAnsi="MS Sans Serif" w:cs="Times New Roman"/>
          <w:sz w:val="27"/>
          <w:szCs w:val="27"/>
          <w:lang w:eastAsia="bg-BG"/>
        </w:rPr>
        <w:t>незаканосъобразно</w:t>
      </w:r>
      <w:proofErr w:type="spellEnd"/>
      <w:r w:rsidRPr="00251C83">
        <w:rPr>
          <w:rFonts w:ascii="MS Sans Serif" w:eastAsia="Times New Roman" w:hAnsi="MS Sans Serif" w:cs="Times New Roman"/>
          <w:sz w:val="27"/>
          <w:szCs w:val="27"/>
          <w:lang w:eastAsia="bg-BG"/>
        </w:rPr>
        <w:t xml:space="preserve">, тъй като класираният на първо място участник е следвало да бъде отстранен от участие, защото техническото му предложение относно преводач от латвийски език не отговаря на изискванията на възложителя.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За прецизност следва да се посочи, че мотивите на решението на КЗК спрямо </w:t>
      </w:r>
      <w:proofErr w:type="spellStart"/>
      <w:r w:rsidRPr="00251C83">
        <w:rPr>
          <w:rFonts w:ascii="MS Sans Serif" w:eastAsia="Times New Roman" w:hAnsi="MS Sans Serif" w:cs="Times New Roman"/>
          <w:sz w:val="27"/>
          <w:szCs w:val="27"/>
          <w:lang w:eastAsia="bg-BG"/>
        </w:rPr>
        <w:t>диспозитива</w:t>
      </w:r>
      <w:proofErr w:type="spellEnd"/>
      <w:r w:rsidRPr="00251C83">
        <w:rPr>
          <w:rFonts w:ascii="MS Sans Serif" w:eastAsia="Times New Roman" w:hAnsi="MS Sans Serif" w:cs="Times New Roman"/>
          <w:sz w:val="27"/>
          <w:szCs w:val="27"/>
          <w:lang w:eastAsia="bg-BG"/>
        </w:rPr>
        <w:t xml:space="preserve">, съдържат редица неясноти и вътрешни противоречия като например „комисията назначена от възложителя, законосъобразно е класирала участниците в процедурата”, „комисията за провеждане на процедурата законосъобразно е приела, че "МИТРА ТРАНСЛЕЙШЪНС" ООД отговаря на критериите за подбор” и т.н. Независимо от това, </w:t>
      </w:r>
      <w:proofErr w:type="spellStart"/>
      <w:r w:rsidRPr="00251C83">
        <w:rPr>
          <w:rFonts w:ascii="MS Sans Serif" w:eastAsia="Times New Roman" w:hAnsi="MS Sans Serif" w:cs="Times New Roman"/>
          <w:sz w:val="27"/>
          <w:szCs w:val="27"/>
          <w:lang w:eastAsia="bg-BG"/>
        </w:rPr>
        <w:t>съгл</w:t>
      </w:r>
      <w:proofErr w:type="spellEnd"/>
      <w:r w:rsidRPr="00251C83">
        <w:rPr>
          <w:rFonts w:ascii="MS Sans Serif" w:eastAsia="Times New Roman" w:hAnsi="MS Sans Serif" w:cs="Times New Roman"/>
          <w:sz w:val="27"/>
          <w:szCs w:val="27"/>
          <w:lang w:eastAsia="bg-BG"/>
        </w:rPr>
        <w:t xml:space="preserve"> чл.218, ал.2 АПК задължение на касационната инстанция е да провери съответствието на решението с материалния закон независимо от наведените касационни основания.</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В тази връзка решението на КЗК като краен резултат е правилно, тъй като техническото предложение на класирания на първо място участник действително не отговаря на предварително обявените условия по см. на §1, т.19а от ДРЗОП, в частност по отношение преводача от латвийски език Милен Митев, поради следното:</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Като доказателство за квалификацията му като преводач от/на латвийски език е представена диплома №63, издадена от Вилнюски университет, от която се установява, че същият е завършил курс по </w:t>
      </w:r>
      <w:proofErr w:type="spellStart"/>
      <w:r w:rsidRPr="00251C83">
        <w:rPr>
          <w:rFonts w:ascii="MS Sans Serif" w:eastAsia="Times New Roman" w:hAnsi="MS Sans Serif" w:cs="Times New Roman"/>
          <w:sz w:val="27"/>
          <w:szCs w:val="27"/>
          <w:lang w:eastAsia="bg-BG"/>
        </w:rPr>
        <w:t>литуанистика</w:t>
      </w:r>
      <w:proofErr w:type="spellEnd"/>
      <w:r w:rsidRPr="00251C83">
        <w:rPr>
          <w:rFonts w:ascii="MS Sans Serif" w:eastAsia="Times New Roman" w:hAnsi="MS Sans Serif" w:cs="Times New Roman"/>
          <w:sz w:val="27"/>
          <w:szCs w:val="27"/>
          <w:lang w:eastAsia="bg-BG"/>
        </w:rPr>
        <w:t xml:space="preserve"> през пролетен семестър на 1993г. Същото обстоятелство се потвърждава от представения в съдебно заседание от </w:t>
      </w:r>
      <w:proofErr w:type="spellStart"/>
      <w:r w:rsidRPr="00251C83">
        <w:rPr>
          <w:rFonts w:ascii="MS Sans Serif" w:eastAsia="Times New Roman" w:hAnsi="MS Sans Serif" w:cs="Times New Roman"/>
          <w:sz w:val="27"/>
          <w:szCs w:val="27"/>
          <w:lang w:eastAsia="bg-BG"/>
        </w:rPr>
        <w:t>касатора</w:t>
      </w:r>
      <w:proofErr w:type="spellEnd"/>
      <w:r w:rsidRPr="00251C83">
        <w:rPr>
          <w:rFonts w:ascii="MS Sans Serif" w:eastAsia="Times New Roman" w:hAnsi="MS Sans Serif" w:cs="Times New Roman"/>
          <w:sz w:val="27"/>
          <w:szCs w:val="27"/>
          <w:lang w:eastAsia="bg-BG"/>
        </w:rPr>
        <w:t xml:space="preserve"> отговор на запитване до Вилнюски университет, от което е видно, че Милен Митев притежава въпросната диплома за завършен успешно курс по литовски език в катедрата по </w:t>
      </w:r>
      <w:proofErr w:type="spellStart"/>
      <w:r w:rsidRPr="00251C83">
        <w:rPr>
          <w:rFonts w:ascii="MS Sans Serif" w:eastAsia="Times New Roman" w:hAnsi="MS Sans Serif" w:cs="Times New Roman"/>
          <w:sz w:val="27"/>
          <w:szCs w:val="27"/>
          <w:lang w:eastAsia="bg-BG"/>
        </w:rPr>
        <w:t>литуанистика</w:t>
      </w:r>
      <w:proofErr w:type="spellEnd"/>
      <w:r w:rsidRPr="00251C83">
        <w:rPr>
          <w:rFonts w:ascii="MS Sans Serif" w:eastAsia="Times New Roman" w:hAnsi="MS Sans Serif" w:cs="Times New Roman"/>
          <w:sz w:val="27"/>
          <w:szCs w:val="27"/>
          <w:lang w:eastAsia="bg-BG"/>
        </w:rPr>
        <w:t>. За пълнота следва да се посочи общоизвестното обстоятелство, че „</w:t>
      </w:r>
      <w:proofErr w:type="spellStart"/>
      <w:r w:rsidRPr="00251C83">
        <w:rPr>
          <w:rFonts w:ascii="MS Sans Serif" w:eastAsia="Times New Roman" w:hAnsi="MS Sans Serif" w:cs="Times New Roman"/>
          <w:sz w:val="27"/>
          <w:szCs w:val="27"/>
          <w:lang w:eastAsia="bg-BG"/>
        </w:rPr>
        <w:t>литуанистика</w:t>
      </w:r>
      <w:proofErr w:type="spellEnd"/>
      <w:r w:rsidRPr="00251C83">
        <w:rPr>
          <w:rFonts w:ascii="MS Sans Serif" w:eastAsia="Times New Roman" w:hAnsi="MS Sans Serif" w:cs="Times New Roman"/>
          <w:sz w:val="27"/>
          <w:szCs w:val="27"/>
          <w:lang w:eastAsia="bg-BG"/>
        </w:rPr>
        <w:t xml:space="preserve">” е наука за литовския език и култура (само), но не и за латвийския. Допълнителни или други доказателства за квалификация на М.Митев като преводач от/на латвийски език не са представени в протеклото до момента производство. Неоснователни са доводите на заинтересованата страна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xml:space="preserve">” ООД, че такива доказателства се съдържат в преписката, тъй като такива нито са намират там, </w:t>
      </w:r>
      <w:r w:rsidRPr="00251C83">
        <w:rPr>
          <w:rFonts w:ascii="MS Sans Serif" w:eastAsia="Times New Roman" w:hAnsi="MS Sans Serif" w:cs="Times New Roman"/>
          <w:sz w:val="27"/>
          <w:szCs w:val="27"/>
          <w:lang w:eastAsia="bg-BG"/>
        </w:rPr>
        <w:lastRenderedPageBreak/>
        <w:t xml:space="preserve">нито е </w:t>
      </w:r>
      <w:proofErr w:type="spellStart"/>
      <w:r w:rsidRPr="00251C83">
        <w:rPr>
          <w:rFonts w:ascii="MS Sans Serif" w:eastAsia="Times New Roman" w:hAnsi="MS Sans Serif" w:cs="Times New Roman"/>
          <w:sz w:val="27"/>
          <w:szCs w:val="27"/>
          <w:lang w:eastAsia="bg-BG"/>
        </w:rPr>
        <w:t>обективирано</w:t>
      </w:r>
      <w:proofErr w:type="spellEnd"/>
      <w:r w:rsidRPr="00251C83">
        <w:rPr>
          <w:rFonts w:ascii="MS Sans Serif" w:eastAsia="Times New Roman" w:hAnsi="MS Sans Serif" w:cs="Times New Roman"/>
          <w:sz w:val="27"/>
          <w:szCs w:val="27"/>
          <w:lang w:eastAsia="bg-BG"/>
        </w:rPr>
        <w:t xml:space="preserve"> по някакъв начин представянето им или приобщаването им към </w:t>
      </w:r>
      <w:proofErr w:type="spellStart"/>
      <w:r w:rsidRPr="00251C83">
        <w:rPr>
          <w:rFonts w:ascii="MS Sans Serif" w:eastAsia="Times New Roman" w:hAnsi="MS Sans Serif" w:cs="Times New Roman"/>
          <w:sz w:val="27"/>
          <w:szCs w:val="27"/>
          <w:lang w:eastAsia="bg-BG"/>
        </w:rPr>
        <w:t>доказателствения</w:t>
      </w:r>
      <w:proofErr w:type="spellEnd"/>
      <w:r w:rsidRPr="00251C83">
        <w:rPr>
          <w:rFonts w:ascii="MS Sans Serif" w:eastAsia="Times New Roman" w:hAnsi="MS Sans Serif" w:cs="Times New Roman"/>
          <w:sz w:val="27"/>
          <w:szCs w:val="27"/>
          <w:lang w:eastAsia="bg-BG"/>
        </w:rPr>
        <w:t xml:space="preserve"> материал, още повече, че тези доказателства следва да се представят с техническото предложение или впоследствие и то ако са изискани по чл.68, ал.8 ЗОП от помощната комисия, но е и по друг начин, който би довел недопустимо до подмяна на техническото предложение.</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 тази връзка следва да се има и предвид, че комисията не е била длъжна да приложи и </w:t>
      </w:r>
      <w:hyperlink r:id="rId11" w:history="1">
        <w:r w:rsidRPr="00251C83">
          <w:rPr>
            <w:rFonts w:ascii="MS Sans Serif" w:eastAsia="Times New Roman" w:hAnsi="MS Sans Serif" w:cs="Times New Roman"/>
            <w:color w:val="0000FF"/>
            <w:sz w:val="27"/>
            <w:szCs w:val="27"/>
            <w:u w:val="single"/>
            <w:lang w:eastAsia="bg-BG"/>
          </w:rPr>
          <w:t>чл. 68, ал. 11 от ЗОП</w:t>
        </w:r>
      </w:hyperlink>
      <w:r w:rsidRPr="00251C83">
        <w:rPr>
          <w:rFonts w:ascii="MS Sans Serif" w:eastAsia="Times New Roman" w:hAnsi="MS Sans Serif" w:cs="Times New Roman"/>
          <w:sz w:val="27"/>
          <w:szCs w:val="27"/>
          <w:lang w:eastAsia="bg-BG"/>
        </w:rPr>
        <w:t xml:space="preserve">, съгласно която комисията може по всяко време да изисква от участниците разяснения, както и допълнителни доказателства за данни, представени в плик 2 и 3. Посочената възможност не може да се използва за промяна на техническото предложение. Комисията може, но не е задължена да изиска от участниците разяснения и допълнителни доказателства и като не е поискала допълнителни доказателства от участника в процедурата, комисията не е извършила нарушение на правилата на </w:t>
      </w:r>
      <w:hyperlink r:id="rId12" w:history="1">
        <w:r w:rsidRPr="00251C83">
          <w:rPr>
            <w:rFonts w:ascii="MS Sans Serif" w:eastAsia="Times New Roman" w:hAnsi="MS Sans Serif" w:cs="Times New Roman"/>
            <w:color w:val="0000FF"/>
            <w:sz w:val="27"/>
            <w:szCs w:val="27"/>
            <w:u w:val="single"/>
            <w:lang w:eastAsia="bg-BG"/>
          </w:rPr>
          <w:t>ЗОП</w:t>
        </w:r>
      </w:hyperlink>
      <w:r w:rsidRPr="00251C83">
        <w:rPr>
          <w:rFonts w:ascii="MS Sans Serif" w:eastAsia="Times New Roman" w:hAnsi="MS Sans Serif" w:cs="Times New Roman"/>
          <w:sz w:val="27"/>
          <w:szCs w:val="27"/>
          <w:lang w:eastAsia="bg-BG"/>
        </w:rPr>
        <w:t xml:space="preserve">.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При тези данни безспорно е установено, че участникът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xml:space="preserve">” ООД не е изпълнил изискване на възложителя, което е самостоятелно основание за отстраняването му от по-нататъшно участие в процедурата на основание </w:t>
      </w:r>
      <w:hyperlink r:id="rId13" w:history="1">
        <w:r w:rsidRPr="00251C83">
          <w:rPr>
            <w:rFonts w:ascii="MS Sans Serif" w:eastAsia="Times New Roman" w:hAnsi="MS Sans Serif" w:cs="Times New Roman"/>
            <w:color w:val="0000FF"/>
            <w:sz w:val="27"/>
            <w:szCs w:val="27"/>
            <w:u w:val="single"/>
            <w:lang w:eastAsia="bg-BG"/>
          </w:rPr>
          <w:t>чл. 69, ал. 1, т. 3 от ЗОП</w:t>
        </w:r>
      </w:hyperlink>
      <w:r w:rsidRPr="00251C83">
        <w:rPr>
          <w:rFonts w:ascii="MS Sans Serif" w:eastAsia="Times New Roman" w:hAnsi="MS Sans Serif" w:cs="Times New Roman"/>
          <w:sz w:val="27"/>
          <w:szCs w:val="27"/>
          <w:lang w:eastAsia="bg-BG"/>
        </w:rPr>
        <w:t>.</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 процедурата за възлагане на обществена поръчка изискванията към офертата на участника са законово уредени в </w:t>
      </w:r>
      <w:hyperlink r:id="rId14" w:history="1">
        <w:r w:rsidRPr="00251C83">
          <w:rPr>
            <w:rFonts w:ascii="MS Sans Serif" w:eastAsia="Times New Roman" w:hAnsi="MS Sans Serif" w:cs="Times New Roman"/>
            <w:color w:val="0000FF"/>
            <w:sz w:val="27"/>
            <w:szCs w:val="27"/>
            <w:u w:val="single"/>
            <w:lang w:eastAsia="bg-BG"/>
          </w:rPr>
          <w:t>чл. 54</w:t>
        </w:r>
      </w:hyperlink>
      <w:r w:rsidRPr="00251C83">
        <w:rPr>
          <w:rFonts w:ascii="MS Sans Serif" w:eastAsia="Times New Roman" w:hAnsi="MS Sans Serif" w:cs="Times New Roman"/>
          <w:sz w:val="27"/>
          <w:szCs w:val="27"/>
          <w:lang w:eastAsia="bg-BG"/>
        </w:rPr>
        <w:t xml:space="preserve"> - </w:t>
      </w:r>
      <w:hyperlink r:id="rId15" w:history="1">
        <w:r w:rsidRPr="00251C83">
          <w:rPr>
            <w:rFonts w:ascii="MS Sans Serif" w:eastAsia="Times New Roman" w:hAnsi="MS Sans Serif" w:cs="Times New Roman"/>
            <w:color w:val="0000FF"/>
            <w:sz w:val="27"/>
            <w:szCs w:val="27"/>
            <w:u w:val="single"/>
            <w:lang w:eastAsia="bg-BG"/>
          </w:rPr>
          <w:t>58а от ЗОП</w:t>
        </w:r>
      </w:hyperlink>
      <w:r w:rsidRPr="00251C83">
        <w:rPr>
          <w:rFonts w:ascii="MS Sans Serif" w:eastAsia="Times New Roman" w:hAnsi="MS Sans Serif" w:cs="Times New Roman"/>
          <w:sz w:val="27"/>
          <w:szCs w:val="27"/>
          <w:lang w:eastAsia="bg-BG"/>
        </w:rPr>
        <w:t xml:space="preserve"> като при изготвяне на офертата си участника трябва да се придържа точно към обявените от възложителя условия, като до изтичане на срока за подаването им участникът може да промени, допълни или оттегли офертата си. Тези разпоредби са във връзка с разпоредбите за разглеждане, оценка и класиране на офертите в </w:t>
      </w:r>
      <w:hyperlink r:id="rId16" w:history="1">
        <w:r w:rsidRPr="00251C83">
          <w:rPr>
            <w:rFonts w:ascii="MS Sans Serif" w:eastAsia="Times New Roman" w:hAnsi="MS Sans Serif" w:cs="Times New Roman"/>
            <w:color w:val="0000FF"/>
            <w:sz w:val="27"/>
            <w:szCs w:val="27"/>
            <w:u w:val="single"/>
            <w:lang w:eastAsia="bg-BG"/>
          </w:rPr>
          <w:t>чл. 68 и сл. от ЗОП</w:t>
        </w:r>
      </w:hyperlink>
      <w:r w:rsidRPr="00251C83">
        <w:rPr>
          <w:rFonts w:ascii="MS Sans Serif" w:eastAsia="Times New Roman" w:hAnsi="MS Sans Serif" w:cs="Times New Roman"/>
          <w:sz w:val="27"/>
          <w:szCs w:val="27"/>
          <w:lang w:eastAsia="bg-BG"/>
        </w:rPr>
        <w:t xml:space="preserve">, според които комисията на възложителя следва да отстрани участник при хипотезите на </w:t>
      </w:r>
      <w:hyperlink r:id="rId17" w:history="1">
        <w:r w:rsidRPr="00251C83">
          <w:rPr>
            <w:rFonts w:ascii="MS Sans Serif" w:eastAsia="Times New Roman" w:hAnsi="MS Sans Serif" w:cs="Times New Roman"/>
            <w:color w:val="0000FF"/>
            <w:sz w:val="27"/>
            <w:szCs w:val="27"/>
            <w:u w:val="single"/>
            <w:lang w:eastAsia="bg-BG"/>
          </w:rPr>
          <w:t>чл. 69 от ЗОП</w:t>
        </w:r>
      </w:hyperlink>
      <w:r w:rsidRPr="00251C83">
        <w:rPr>
          <w:rFonts w:ascii="MS Sans Serif" w:eastAsia="Times New Roman" w:hAnsi="MS Sans Serif" w:cs="Times New Roman"/>
          <w:sz w:val="27"/>
          <w:szCs w:val="27"/>
          <w:lang w:eastAsia="bg-BG"/>
        </w:rPr>
        <w:t xml:space="preserve"> и в частност т. 3 - участник който е представил оферта, която не отговаря на изискванията по </w:t>
      </w:r>
      <w:hyperlink r:id="rId18" w:history="1">
        <w:r w:rsidRPr="00251C83">
          <w:rPr>
            <w:rFonts w:ascii="MS Sans Serif" w:eastAsia="Times New Roman" w:hAnsi="MS Sans Serif" w:cs="Times New Roman"/>
            <w:color w:val="0000FF"/>
            <w:sz w:val="27"/>
            <w:szCs w:val="27"/>
            <w:u w:val="single"/>
            <w:lang w:eastAsia="bg-BG"/>
          </w:rPr>
          <w:t>чл. 54 от ЗОП</w:t>
        </w:r>
      </w:hyperlink>
      <w:r w:rsidRPr="00251C83">
        <w:rPr>
          <w:rFonts w:ascii="MS Sans Serif" w:eastAsia="Times New Roman" w:hAnsi="MS Sans Serif" w:cs="Times New Roman"/>
          <w:sz w:val="27"/>
          <w:szCs w:val="27"/>
          <w:lang w:eastAsia="bg-BG"/>
        </w:rPr>
        <w:t>.</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При извършената касационна проверка за приложението на материалния закон от КЗК, чието решение е предмет на настоящето производство по отношение основанията, поради които е преценено, че „Митра </w:t>
      </w:r>
      <w:proofErr w:type="spellStart"/>
      <w:r w:rsidRPr="00251C83">
        <w:rPr>
          <w:rFonts w:ascii="MS Sans Serif" w:eastAsia="Times New Roman" w:hAnsi="MS Sans Serif" w:cs="Times New Roman"/>
          <w:sz w:val="27"/>
          <w:szCs w:val="27"/>
          <w:lang w:eastAsia="bg-BG"/>
        </w:rPr>
        <w:t>Транслейшънс</w:t>
      </w:r>
      <w:proofErr w:type="spellEnd"/>
      <w:r w:rsidRPr="00251C83">
        <w:rPr>
          <w:rFonts w:ascii="MS Sans Serif" w:eastAsia="Times New Roman" w:hAnsi="MS Sans Serif" w:cs="Times New Roman"/>
          <w:sz w:val="27"/>
          <w:szCs w:val="27"/>
          <w:lang w:eastAsia="bg-BG"/>
        </w:rPr>
        <w:t xml:space="preserve">” ООД е следвало да бъда отстранено от участие, не се установяват визираните от </w:t>
      </w:r>
      <w:proofErr w:type="spellStart"/>
      <w:r w:rsidRPr="00251C83">
        <w:rPr>
          <w:rFonts w:ascii="MS Sans Serif" w:eastAsia="Times New Roman" w:hAnsi="MS Sans Serif" w:cs="Times New Roman"/>
          <w:sz w:val="27"/>
          <w:szCs w:val="27"/>
          <w:lang w:eastAsia="bg-BG"/>
        </w:rPr>
        <w:t>касатора</w:t>
      </w:r>
      <w:proofErr w:type="spellEnd"/>
      <w:r w:rsidRPr="00251C83">
        <w:rPr>
          <w:rFonts w:ascii="MS Sans Serif" w:eastAsia="Times New Roman" w:hAnsi="MS Sans Serif" w:cs="Times New Roman"/>
          <w:sz w:val="27"/>
          <w:szCs w:val="27"/>
          <w:lang w:eastAsia="bg-BG"/>
        </w:rPr>
        <w:t xml:space="preserve"> нарушения.</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При положение, че решението за откриване е влязло в сила и в хипотезата на </w:t>
      </w:r>
      <w:hyperlink r:id="rId19" w:history="1">
        <w:r w:rsidRPr="00251C83">
          <w:rPr>
            <w:rFonts w:ascii="MS Sans Serif" w:eastAsia="Times New Roman" w:hAnsi="MS Sans Serif" w:cs="Times New Roman"/>
            <w:color w:val="0000FF"/>
            <w:sz w:val="27"/>
            <w:szCs w:val="27"/>
            <w:u w:val="single"/>
            <w:lang w:eastAsia="bg-BG"/>
          </w:rPr>
          <w:t>чл. 27а ЗОП</w:t>
        </w:r>
      </w:hyperlink>
      <w:r w:rsidRPr="00251C83">
        <w:rPr>
          <w:rFonts w:ascii="MS Sans Serif" w:eastAsia="Times New Roman" w:hAnsi="MS Sans Serif" w:cs="Times New Roman"/>
          <w:sz w:val="27"/>
          <w:szCs w:val="27"/>
          <w:lang w:eastAsia="bg-BG"/>
        </w:rPr>
        <w:t xml:space="preserve"> не е постъпило предложение за промяна на изискванията на възложителя или искане за разяснения по документацията за участие в хипотезата на </w:t>
      </w:r>
      <w:hyperlink r:id="rId20" w:history="1">
        <w:r w:rsidRPr="00251C83">
          <w:rPr>
            <w:rFonts w:ascii="MS Sans Serif" w:eastAsia="Times New Roman" w:hAnsi="MS Sans Serif" w:cs="Times New Roman"/>
            <w:color w:val="0000FF"/>
            <w:sz w:val="27"/>
            <w:szCs w:val="27"/>
            <w:u w:val="single"/>
            <w:lang w:eastAsia="bg-BG"/>
          </w:rPr>
          <w:t>чл. 29 ЗОП</w:t>
        </w:r>
      </w:hyperlink>
      <w:r w:rsidRPr="00251C83">
        <w:rPr>
          <w:rFonts w:ascii="MS Sans Serif" w:eastAsia="Times New Roman" w:hAnsi="MS Sans Serif" w:cs="Times New Roman"/>
          <w:sz w:val="27"/>
          <w:szCs w:val="27"/>
          <w:lang w:eastAsia="bg-BG"/>
        </w:rPr>
        <w:t xml:space="preserve">, всички изисквания са били задължителни за участниците в процедурата и съобразно </w:t>
      </w:r>
      <w:hyperlink r:id="rId21" w:history="1">
        <w:r w:rsidRPr="00251C83">
          <w:rPr>
            <w:rFonts w:ascii="MS Sans Serif" w:eastAsia="Times New Roman" w:hAnsi="MS Sans Serif" w:cs="Times New Roman"/>
            <w:color w:val="0000FF"/>
            <w:sz w:val="27"/>
            <w:szCs w:val="27"/>
            <w:u w:val="single"/>
            <w:lang w:eastAsia="bg-BG"/>
          </w:rPr>
          <w:t>чл. 54, ал. 1 ЗОП</w:t>
        </w:r>
      </w:hyperlink>
      <w:r w:rsidRPr="00251C83">
        <w:rPr>
          <w:rFonts w:ascii="MS Sans Serif" w:eastAsia="Times New Roman" w:hAnsi="MS Sans Serif" w:cs="Times New Roman"/>
          <w:sz w:val="27"/>
          <w:szCs w:val="27"/>
          <w:lang w:eastAsia="bg-BG"/>
        </w:rPr>
        <w:t xml:space="preserve"> при изготвяне на офертата всеки участник трябва да се придържа точно към обявените от възложителя условия като има възможност (ал. 2) до изтичането на срока за подаване на офертите може да промени, допълни или да оттегли офертата си.</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Видно от данните по преписката, нито една от тези възможности не е използвана от заинтересованата страна, поради което офертата му следва да бъде съобразявана спрямо изричните изисквания на възложителя. Именно това е не сторено от прецизно от комисията, като в оперативната й самостоятелност не е предвидена възможност да тълкува </w:t>
      </w:r>
      <w:proofErr w:type="spellStart"/>
      <w:r w:rsidRPr="00251C83">
        <w:rPr>
          <w:rFonts w:ascii="MS Sans Serif" w:eastAsia="Times New Roman" w:hAnsi="MS Sans Serif" w:cs="Times New Roman"/>
          <w:sz w:val="27"/>
          <w:szCs w:val="27"/>
          <w:lang w:eastAsia="bg-BG"/>
        </w:rPr>
        <w:t>разширително</w:t>
      </w:r>
      <w:proofErr w:type="spellEnd"/>
      <w:r w:rsidRPr="00251C83">
        <w:rPr>
          <w:rFonts w:ascii="MS Sans Serif" w:eastAsia="Times New Roman" w:hAnsi="MS Sans Serif" w:cs="Times New Roman"/>
          <w:sz w:val="27"/>
          <w:szCs w:val="27"/>
          <w:lang w:eastAsia="bg-BG"/>
        </w:rPr>
        <w:t xml:space="preserve"> изискванията на възложителя.</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 случая очевидно е налице липса на документи за основни характеристики като съставна част от техническото предложение ( квалификация за владеене на латвийски език), което е в несъответствие с предварително заложените условия </w:t>
      </w:r>
      <w:r w:rsidRPr="00251C83">
        <w:rPr>
          <w:rFonts w:ascii="MS Sans Serif" w:eastAsia="Times New Roman" w:hAnsi="MS Sans Serif" w:cs="Times New Roman"/>
          <w:sz w:val="27"/>
          <w:szCs w:val="27"/>
          <w:lang w:eastAsia="bg-BG"/>
        </w:rPr>
        <w:lastRenderedPageBreak/>
        <w:t>на възложителя, което правилно е преценено от КЗК като основание за отстраняване му от участие в процедурата по възлагане на обществената поръчка.</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Възраженията на </w:t>
      </w:r>
      <w:proofErr w:type="spellStart"/>
      <w:r w:rsidRPr="00251C83">
        <w:rPr>
          <w:rFonts w:ascii="MS Sans Serif" w:eastAsia="Times New Roman" w:hAnsi="MS Sans Serif" w:cs="Times New Roman"/>
          <w:sz w:val="27"/>
          <w:szCs w:val="27"/>
          <w:lang w:eastAsia="bg-BG"/>
        </w:rPr>
        <w:t>касатора</w:t>
      </w:r>
      <w:proofErr w:type="spellEnd"/>
      <w:r w:rsidRPr="00251C83">
        <w:rPr>
          <w:rFonts w:ascii="MS Sans Serif" w:eastAsia="Times New Roman" w:hAnsi="MS Sans Serif" w:cs="Times New Roman"/>
          <w:sz w:val="27"/>
          <w:szCs w:val="27"/>
          <w:lang w:eastAsia="bg-BG"/>
        </w:rPr>
        <w:t xml:space="preserve"> по съществото на спора са неоснователни - сочените </w:t>
      </w:r>
      <w:proofErr w:type="spellStart"/>
      <w:r w:rsidRPr="00251C83">
        <w:rPr>
          <w:rFonts w:ascii="MS Sans Serif" w:eastAsia="Times New Roman" w:hAnsi="MS Sans Serif" w:cs="Times New Roman"/>
          <w:sz w:val="27"/>
          <w:szCs w:val="27"/>
          <w:lang w:eastAsia="bg-BG"/>
        </w:rPr>
        <w:t>отменителни</w:t>
      </w:r>
      <w:proofErr w:type="spellEnd"/>
      <w:r w:rsidRPr="00251C83">
        <w:rPr>
          <w:rFonts w:ascii="MS Sans Serif" w:eastAsia="Times New Roman" w:hAnsi="MS Sans Serif" w:cs="Times New Roman"/>
          <w:sz w:val="27"/>
          <w:szCs w:val="27"/>
          <w:lang w:eastAsia="bg-BG"/>
        </w:rPr>
        <w:t xml:space="preserve"> основания не са налице. Напротив - изводите на КЗК са основани върху обсъждане и преценка на релевантните по спора доказателства, като е съобразена спецификата на обществената поръчка и правилно са тълкувани и приложени </w:t>
      </w:r>
      <w:proofErr w:type="spellStart"/>
      <w:r w:rsidRPr="00251C83">
        <w:rPr>
          <w:rFonts w:ascii="MS Sans Serif" w:eastAsia="Times New Roman" w:hAnsi="MS Sans Serif" w:cs="Times New Roman"/>
          <w:sz w:val="27"/>
          <w:szCs w:val="27"/>
          <w:lang w:eastAsia="bg-BG"/>
        </w:rPr>
        <w:t>относимите</w:t>
      </w:r>
      <w:proofErr w:type="spellEnd"/>
      <w:r w:rsidRPr="00251C83">
        <w:rPr>
          <w:rFonts w:ascii="MS Sans Serif" w:eastAsia="Times New Roman" w:hAnsi="MS Sans Serif" w:cs="Times New Roman"/>
          <w:sz w:val="27"/>
          <w:szCs w:val="27"/>
          <w:lang w:eastAsia="bg-BG"/>
        </w:rPr>
        <w:t xml:space="preserve"> правни норми от материалния закон - в случая по </w:t>
      </w:r>
      <w:hyperlink r:id="rId22" w:history="1">
        <w:r w:rsidRPr="00251C83">
          <w:rPr>
            <w:rFonts w:ascii="MS Sans Serif" w:eastAsia="Times New Roman" w:hAnsi="MS Sans Serif" w:cs="Times New Roman"/>
            <w:color w:val="0000FF"/>
            <w:sz w:val="27"/>
            <w:szCs w:val="27"/>
            <w:u w:val="single"/>
            <w:lang w:eastAsia="bg-BG"/>
          </w:rPr>
          <w:t>ЗОП</w:t>
        </w:r>
      </w:hyperlink>
      <w:r w:rsidRPr="00251C83">
        <w:rPr>
          <w:rFonts w:ascii="MS Sans Serif" w:eastAsia="Times New Roman" w:hAnsi="MS Sans Serif" w:cs="Times New Roman"/>
          <w:sz w:val="27"/>
          <w:szCs w:val="27"/>
          <w:lang w:eastAsia="bg-BG"/>
        </w:rPr>
        <w:t>, релевантни за правилното провеждане и приключване на процедурата.</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Наведените доводи в жалбата в подкрепа на касационните оплаквания по съществото им не се подкрепят с доказателства или доводи, които да обосновават наведените </w:t>
      </w:r>
      <w:proofErr w:type="spellStart"/>
      <w:r w:rsidRPr="00251C83">
        <w:rPr>
          <w:rFonts w:ascii="MS Sans Serif" w:eastAsia="Times New Roman" w:hAnsi="MS Sans Serif" w:cs="Times New Roman"/>
          <w:sz w:val="27"/>
          <w:szCs w:val="27"/>
          <w:lang w:eastAsia="bg-BG"/>
        </w:rPr>
        <w:t>отменителни</w:t>
      </w:r>
      <w:proofErr w:type="spellEnd"/>
      <w:r w:rsidRPr="00251C83">
        <w:rPr>
          <w:rFonts w:ascii="MS Sans Serif" w:eastAsia="Times New Roman" w:hAnsi="MS Sans Serif" w:cs="Times New Roman"/>
          <w:sz w:val="27"/>
          <w:szCs w:val="27"/>
          <w:lang w:eastAsia="bg-BG"/>
        </w:rPr>
        <w:t xml:space="preserve"> основания. При връщане на делото възложителят следва да изпълни указанията в решението на КЗК като съобрази и чл.39, ал.2 ЗОП.</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В хода на тези разсъждения, последица от преценката на доказателствата в съпоставка с наведените в касационната жалба доводи, Върховният административен съд в настоящия си състав приема, че подадената срещу решението на КЗК жалба е неоснователна, а решението като правилно, валидно и допустимо следва да бъде оставено в сила.</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С оглед изхода на спора е основателна претенцията на процесуалния представител на ответната страна „Орхидея- 94" ЕООД за присъждане на реално направените разноски в касационното производство, които с оглед чл.143 АПК и във </w:t>
      </w:r>
      <w:proofErr w:type="spellStart"/>
      <w:r w:rsidRPr="00251C83">
        <w:rPr>
          <w:rFonts w:ascii="MS Sans Serif" w:eastAsia="Times New Roman" w:hAnsi="MS Sans Serif" w:cs="Times New Roman"/>
          <w:sz w:val="27"/>
          <w:szCs w:val="27"/>
          <w:lang w:eastAsia="bg-BG"/>
        </w:rPr>
        <w:t>вр</w:t>
      </w:r>
      <w:proofErr w:type="spellEnd"/>
      <w:r w:rsidRPr="00251C83">
        <w:rPr>
          <w:rFonts w:ascii="MS Sans Serif" w:eastAsia="Times New Roman" w:hAnsi="MS Sans Serif" w:cs="Times New Roman"/>
          <w:sz w:val="27"/>
          <w:szCs w:val="27"/>
          <w:lang w:eastAsia="bg-BG"/>
        </w:rPr>
        <w:t xml:space="preserve">. чл.8, ал.2, т.5 от Наредба №1 от 9.07.2004 г. за минималните размери на адвокатските възнаграждения се дължат от бюджета на органа, издал оспорения административен акт, в размер на 2 440 лева, които са доказани като основание и размер съгласно представения списък по чл.80 ГПК, </w:t>
      </w:r>
      <w:proofErr w:type="spellStart"/>
      <w:r w:rsidRPr="00251C83">
        <w:rPr>
          <w:rFonts w:ascii="MS Sans Serif" w:eastAsia="Times New Roman" w:hAnsi="MS Sans Serif" w:cs="Times New Roman"/>
          <w:sz w:val="27"/>
          <w:szCs w:val="27"/>
          <w:lang w:eastAsia="bg-BG"/>
        </w:rPr>
        <w:t>вр</w:t>
      </w:r>
      <w:proofErr w:type="spellEnd"/>
      <w:r w:rsidRPr="00251C83">
        <w:rPr>
          <w:rFonts w:ascii="MS Sans Serif" w:eastAsia="Times New Roman" w:hAnsi="MS Sans Serif" w:cs="Times New Roman"/>
          <w:sz w:val="27"/>
          <w:szCs w:val="27"/>
          <w:lang w:eastAsia="bg-BG"/>
        </w:rPr>
        <w:t xml:space="preserve">. чл.144 АПК и договор за правна защита и съдействие. </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 xml:space="preserve">Воден от горното, и на основание </w:t>
      </w:r>
      <w:hyperlink r:id="rId23" w:history="1">
        <w:r w:rsidRPr="00251C83">
          <w:rPr>
            <w:rFonts w:ascii="MS Sans Serif" w:eastAsia="Times New Roman" w:hAnsi="MS Sans Serif" w:cs="Times New Roman"/>
            <w:color w:val="0000FF"/>
            <w:sz w:val="27"/>
            <w:szCs w:val="27"/>
            <w:u w:val="single"/>
            <w:lang w:eastAsia="bg-BG"/>
          </w:rPr>
          <w:t>чл. 122е от ЗОП</w:t>
        </w:r>
      </w:hyperlink>
      <w:r w:rsidRPr="00251C83">
        <w:rPr>
          <w:rFonts w:ascii="MS Sans Serif" w:eastAsia="Times New Roman" w:hAnsi="MS Sans Serif" w:cs="Times New Roman"/>
          <w:sz w:val="27"/>
          <w:szCs w:val="27"/>
          <w:lang w:eastAsia="bg-BG"/>
        </w:rPr>
        <w:t>, Върховният административен съд - Четвърто отделение,</w:t>
      </w:r>
    </w:p>
    <w:p w:rsidR="00251C83" w:rsidRPr="00251C83" w:rsidRDefault="00251C83" w:rsidP="00251C83">
      <w:pPr>
        <w:spacing w:after="0" w:line="240" w:lineRule="auto"/>
        <w:jc w:val="center"/>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36"/>
          <w:szCs w:val="36"/>
          <w:lang w:eastAsia="bg-BG"/>
        </w:rPr>
        <w:t>Р</w:t>
      </w:r>
      <w:bookmarkStart w:id="0" w:name="_GoBack"/>
      <w:bookmarkEnd w:id="0"/>
      <w:r w:rsidRPr="00251C83">
        <w:rPr>
          <w:rFonts w:ascii="MS Sans Serif" w:eastAsia="Times New Roman" w:hAnsi="MS Sans Serif" w:cs="Times New Roman"/>
          <w:b/>
          <w:bCs/>
          <w:sz w:val="36"/>
          <w:szCs w:val="36"/>
          <w:lang w:eastAsia="bg-BG"/>
        </w:rPr>
        <w:t>ЕШИ:</w:t>
      </w:r>
    </w:p>
    <w:p w:rsidR="00251C83" w:rsidRPr="00251C83" w:rsidRDefault="00251C83" w:rsidP="00251C83">
      <w:pPr>
        <w:spacing w:after="240" w:line="240" w:lineRule="auto"/>
        <w:rPr>
          <w:rFonts w:ascii="Times New Roman" w:eastAsia="Times New Roman" w:hAnsi="Times New Roman" w:cs="Times New Roman"/>
          <w:sz w:val="24"/>
          <w:szCs w:val="24"/>
          <w:lang w:eastAsia="bg-BG"/>
        </w:rPr>
      </w:pP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ОСТАВЯ В СИЛА Решение № 852 от 4.11.2015 г. на Комисия за защита на конкуренцията по преписка, вх. № КЗК-572/30.09.2015 г.</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ОСЪЖДА Окръжна прокуратура гр.Русе с адрес гр. Русе, 7000, ул. „</w:t>
      </w:r>
      <w:proofErr w:type="spellStart"/>
      <w:r w:rsidRPr="00251C83">
        <w:rPr>
          <w:rFonts w:ascii="MS Sans Serif" w:eastAsia="Times New Roman" w:hAnsi="MS Sans Serif" w:cs="Times New Roman"/>
          <w:sz w:val="27"/>
          <w:szCs w:val="27"/>
          <w:lang w:eastAsia="bg-BG"/>
        </w:rPr>
        <w:t>Александровска</w:t>
      </w:r>
      <w:proofErr w:type="spellEnd"/>
      <w:r w:rsidRPr="00251C83">
        <w:rPr>
          <w:rFonts w:ascii="MS Sans Serif" w:eastAsia="Times New Roman" w:hAnsi="MS Sans Serif" w:cs="Times New Roman"/>
          <w:sz w:val="27"/>
          <w:szCs w:val="27"/>
          <w:lang w:eastAsia="bg-BG"/>
        </w:rPr>
        <w:t>” № 57 да заплати на "ОРХИДЕЯ- 94" ЕООД- вписано в Търговския регистър към Агенция по вписванията с ЕИК 130291826, със седалище и адрес на управление гр. София, 1415, ж. к. Драгалевци, ул. "Чемшир" № 16, сумата от 2 440 ( две хиляди четиристотин и четиридесет) лева, представляваща разноски по делото.</w:t>
      </w:r>
      <w:r w:rsidRPr="00251C83">
        <w:rPr>
          <w:rFonts w:ascii="Times New Roman" w:eastAsia="Times New Roman" w:hAnsi="Times New Roman" w:cs="Times New Roman"/>
          <w:sz w:val="24"/>
          <w:szCs w:val="24"/>
          <w:lang w:eastAsia="bg-BG"/>
        </w:rPr>
        <w:br/>
      </w:r>
      <w:r w:rsidRPr="00251C83">
        <w:rPr>
          <w:rFonts w:ascii="MS Sans Serif" w:eastAsia="Times New Roman" w:hAnsi="MS Sans Serif" w:cs="Times New Roman"/>
          <w:sz w:val="27"/>
          <w:szCs w:val="27"/>
          <w:lang w:eastAsia="bg-BG"/>
        </w:rPr>
        <w:t>Решението е окончателно.</w:t>
      </w:r>
      <w:r w:rsidRPr="00251C83">
        <w:rPr>
          <w:rFonts w:ascii="Times New Roman" w:eastAsia="Times New Roman" w:hAnsi="Times New Roman" w:cs="Times New Roman"/>
          <w:sz w:val="24"/>
          <w:szCs w:val="24"/>
          <w:lang w:eastAsia="bg-BG"/>
        </w:rPr>
        <w:br/>
      </w:r>
    </w:p>
    <w:tbl>
      <w:tblPr>
        <w:tblW w:w="0" w:type="auto"/>
        <w:tblCellSpacing w:w="0" w:type="dxa"/>
        <w:tblCellMar>
          <w:left w:w="0" w:type="dxa"/>
          <w:right w:w="0" w:type="dxa"/>
        </w:tblCellMar>
        <w:tblLook w:val="04A0" w:firstRow="1" w:lastRow="0" w:firstColumn="1" w:lastColumn="0" w:noHBand="0" w:noVBand="1"/>
      </w:tblPr>
      <w:tblGrid>
        <w:gridCol w:w="3027"/>
        <w:gridCol w:w="3055"/>
        <w:gridCol w:w="3416"/>
      </w:tblGrid>
      <w:tr w:rsidR="00251C83" w:rsidRPr="00251C83" w:rsidTr="00251C83">
        <w:trPr>
          <w:tblCellSpacing w:w="0" w:type="dxa"/>
        </w:trPr>
        <w:tc>
          <w:tcPr>
            <w:tcW w:w="3120"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27"/>
                <w:szCs w:val="27"/>
                <w:lang w:eastAsia="bg-BG"/>
              </w:rPr>
              <w:t xml:space="preserve">Вярно с оригинала, </w:t>
            </w:r>
          </w:p>
        </w:tc>
        <w:tc>
          <w:tcPr>
            <w:tcW w:w="3105" w:type="dxa"/>
            <w:hideMark/>
          </w:tcPr>
          <w:p w:rsidR="00251C83" w:rsidRPr="00251C83" w:rsidRDefault="00251C83" w:rsidP="00251C83">
            <w:pPr>
              <w:spacing w:after="0" w:line="240" w:lineRule="auto"/>
              <w:jc w:val="right"/>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27"/>
                <w:szCs w:val="27"/>
                <w:lang w:eastAsia="bg-BG"/>
              </w:rPr>
              <w:t>ПРЕДСЕДАТЕЛ:</w:t>
            </w:r>
          </w:p>
        </w:tc>
        <w:tc>
          <w:tcPr>
            <w:tcW w:w="3540"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 xml:space="preserve">/п/ Галина </w:t>
            </w:r>
            <w:proofErr w:type="spellStart"/>
            <w:r w:rsidRPr="00251C83">
              <w:rPr>
                <w:rFonts w:ascii="MS Sans Serif" w:eastAsia="Times New Roman" w:hAnsi="MS Sans Serif" w:cs="Times New Roman"/>
                <w:sz w:val="27"/>
                <w:szCs w:val="27"/>
                <w:lang w:eastAsia="bg-BG"/>
              </w:rPr>
              <w:t>Матейска</w:t>
            </w:r>
            <w:proofErr w:type="spellEnd"/>
          </w:p>
        </w:tc>
      </w:tr>
      <w:tr w:rsidR="00251C83" w:rsidRPr="00251C83" w:rsidTr="00251C83">
        <w:trPr>
          <w:tblCellSpacing w:w="0" w:type="dxa"/>
        </w:trPr>
        <w:tc>
          <w:tcPr>
            <w:tcW w:w="3120"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27"/>
                <w:szCs w:val="27"/>
                <w:lang w:eastAsia="bg-BG"/>
              </w:rPr>
              <w:t xml:space="preserve">секретар: </w:t>
            </w:r>
          </w:p>
        </w:tc>
        <w:tc>
          <w:tcPr>
            <w:tcW w:w="3105" w:type="dxa"/>
            <w:hideMark/>
          </w:tcPr>
          <w:p w:rsidR="00251C83" w:rsidRPr="00251C83" w:rsidRDefault="00251C83" w:rsidP="00251C83">
            <w:pPr>
              <w:spacing w:after="0" w:line="240" w:lineRule="auto"/>
              <w:jc w:val="right"/>
              <w:rPr>
                <w:rFonts w:ascii="Times New Roman" w:eastAsia="Times New Roman" w:hAnsi="Times New Roman" w:cs="Times New Roman"/>
                <w:sz w:val="24"/>
                <w:szCs w:val="24"/>
                <w:lang w:eastAsia="bg-BG"/>
              </w:rPr>
            </w:pPr>
            <w:r w:rsidRPr="00251C83">
              <w:rPr>
                <w:rFonts w:ascii="MS Sans Serif" w:eastAsia="Times New Roman" w:hAnsi="MS Sans Serif" w:cs="Times New Roman"/>
                <w:b/>
                <w:bCs/>
                <w:sz w:val="27"/>
                <w:szCs w:val="27"/>
                <w:lang w:eastAsia="bg-BG"/>
              </w:rPr>
              <w:t>ЧЛЕНОВЕ:</w:t>
            </w:r>
          </w:p>
        </w:tc>
        <w:tc>
          <w:tcPr>
            <w:tcW w:w="3540" w:type="dxa"/>
            <w:hideMark/>
          </w:tcPr>
          <w:p w:rsidR="00251C83" w:rsidRPr="00251C83" w:rsidRDefault="00251C83" w:rsidP="00251C83">
            <w:pPr>
              <w:spacing w:after="0" w:line="240" w:lineRule="auto"/>
              <w:rPr>
                <w:rFonts w:ascii="Times New Roman" w:eastAsia="Times New Roman" w:hAnsi="Times New Roman" w:cs="Times New Roman"/>
                <w:sz w:val="24"/>
                <w:szCs w:val="24"/>
                <w:lang w:eastAsia="bg-BG"/>
              </w:rPr>
            </w:pPr>
            <w:r w:rsidRPr="00251C83">
              <w:rPr>
                <w:rFonts w:ascii="MS Sans Serif" w:eastAsia="Times New Roman" w:hAnsi="MS Sans Serif" w:cs="Times New Roman"/>
                <w:sz w:val="27"/>
                <w:szCs w:val="27"/>
                <w:lang w:eastAsia="bg-BG"/>
              </w:rPr>
              <w:t>/п/ Тодор Петков</w:t>
            </w:r>
            <w:r w:rsidRPr="00251C83">
              <w:rPr>
                <w:rFonts w:ascii="MS Sans Serif" w:eastAsia="Times New Roman" w:hAnsi="MS Sans Serif" w:cs="Times New Roman"/>
                <w:sz w:val="27"/>
                <w:szCs w:val="27"/>
                <w:lang w:eastAsia="bg-BG"/>
              </w:rPr>
              <w:br/>
              <w:t>/п/ Светослав Славов</w:t>
            </w:r>
          </w:p>
        </w:tc>
      </w:tr>
    </w:tbl>
    <w:p w:rsidR="007A063A" w:rsidRDefault="007A063A"/>
    <w:sectPr w:rsidR="007A063A" w:rsidSect="00251C83">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83"/>
    <w:rsid w:val="00251C83"/>
    <w:rsid w:val="007A06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C8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51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C83"/>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251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7C40377%7C8%7C122%C3%95%7C" TargetMode="External"/><Relationship Id="rId13" Type="http://schemas.openxmlformats.org/officeDocument/2006/relationships/hyperlink" Target="apis://Base=NARH&amp;DocCode=40377&amp;ToPar=Art69_Al1_Pt3&amp;Type=201" TargetMode="External"/><Relationship Id="rId18" Type="http://schemas.openxmlformats.org/officeDocument/2006/relationships/hyperlink" Target="apis://Base=NARH&amp;DocCode=40377&amp;ToPar=Art54&amp;Type=201" TargetMode="External"/><Relationship Id="rId3" Type="http://schemas.openxmlformats.org/officeDocument/2006/relationships/settings" Target="settings.xml"/><Relationship Id="rId21" Type="http://schemas.openxmlformats.org/officeDocument/2006/relationships/hyperlink" Target="apis://Base=NARH&amp;DocCode=40377&amp;ToPar=Art54_Al1&amp;Type=201" TargetMode="External"/><Relationship Id="rId7" Type="http://schemas.openxmlformats.org/officeDocument/2006/relationships/image" Target="media/image2.gif"/><Relationship Id="rId12" Type="http://schemas.openxmlformats.org/officeDocument/2006/relationships/hyperlink" Target="apis://Base=NARH&amp;DocCode=40377&amp;Type=201" TargetMode="External"/><Relationship Id="rId17" Type="http://schemas.openxmlformats.org/officeDocument/2006/relationships/hyperlink" Target="apis://Base=NARH&amp;DocCode=40377&amp;ToPar=Art69&amp;Type=20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apis://Base=NARH&amp;DocCode=40377&amp;ToPar=Art68&amp;Type=201" TargetMode="External"/><Relationship Id="rId20" Type="http://schemas.openxmlformats.org/officeDocument/2006/relationships/hyperlink" Target="apis://Base=NARH&amp;DocCode=40377&amp;ToPar=Art29&amp;Type=201" TargetMode="External"/><Relationship Id="rId1" Type="http://schemas.openxmlformats.org/officeDocument/2006/relationships/styles" Target="styles.xml"/><Relationship Id="rId6" Type="http://schemas.openxmlformats.org/officeDocument/2006/relationships/hyperlink" Target="http://www.sac.government.bg/court22.nsf/d038edcf49190344c2256b7600367606/a341f5441f2bbdd7c2257f1800355567?OpenDocument" TargetMode="External"/><Relationship Id="rId11" Type="http://schemas.openxmlformats.org/officeDocument/2006/relationships/hyperlink" Target="apis://Base=NARH&amp;DocCode=40377&amp;ToPar=Art68_Al11&amp;Type=201"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apis://Base=NARH&amp;DocCode=40377&amp;ToPar=Art58%C3%93&amp;Type=201" TargetMode="External"/><Relationship Id="rId23" Type="http://schemas.openxmlformats.org/officeDocument/2006/relationships/hyperlink" Target="apis://Base=NARH&amp;DocCode=40377&amp;ToPar=Art122%C3%95&amp;Type=201" TargetMode="External"/><Relationship Id="rId10" Type="http://schemas.openxmlformats.org/officeDocument/2006/relationships/hyperlink" Target="apis://Base=NARH&amp;DocCode=40377&amp;ToPar=Art73&amp;Type=201/" TargetMode="External"/><Relationship Id="rId19" Type="http://schemas.openxmlformats.org/officeDocument/2006/relationships/hyperlink" Target="apis://Base=NARH&amp;DocCode=40377&amp;ToPar=Art27%C3%93&amp;Type=201" TargetMode="External"/><Relationship Id="rId4" Type="http://schemas.openxmlformats.org/officeDocument/2006/relationships/webSettings" Target="webSettings.xml"/><Relationship Id="rId9" Type="http://schemas.openxmlformats.org/officeDocument/2006/relationships/hyperlink" Target="apis://NORM%7C40377%7C8%7C122%C3%95%7C" TargetMode="External"/><Relationship Id="rId14" Type="http://schemas.openxmlformats.org/officeDocument/2006/relationships/hyperlink" Target="apis://Base=NARH&amp;DocCode=40377&amp;ToPar=Art54&amp;Type=201" TargetMode="External"/><Relationship Id="rId22" Type="http://schemas.openxmlformats.org/officeDocument/2006/relationships/hyperlink" Target="apis://Base=NARH&amp;DocCode=4037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2317</Words>
  <Characters>13207</Characters>
  <Application>Microsoft Office Word</Application>
  <DocSecurity>0</DocSecurity>
  <Lines>110</Lines>
  <Paragraphs>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cp:lastPrinted>2016-03-07T08:48:00Z</cp:lastPrinted>
  <dcterms:created xsi:type="dcterms:W3CDTF">2016-03-07T08:47:00Z</dcterms:created>
  <dcterms:modified xsi:type="dcterms:W3CDTF">2016-03-07T08:49:00Z</dcterms:modified>
</cp:coreProperties>
</file>